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8BD2" w14:textId="77777777" w:rsidR="00742FFD" w:rsidRPr="00742FFD" w:rsidRDefault="00742FFD" w:rsidP="00742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ІНСТРУКЦІЯ</w:t>
      </w:r>
    </w:p>
    <w:p w14:paraId="2B42DB2C" w14:textId="77777777" w:rsidR="00742FFD" w:rsidRPr="00742FFD" w:rsidRDefault="00742FFD" w:rsidP="0074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для медичного застосування лікарського засобу </w:t>
      </w:r>
    </w:p>
    <w:p w14:paraId="3EDEDF68" w14:textId="77777777" w:rsidR="00742FFD" w:rsidRPr="00742FFD" w:rsidRDefault="00742FFD" w:rsidP="0074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14:paraId="072D6A02" w14:textId="77777777" w:rsidR="00742FFD" w:rsidRPr="00742FFD" w:rsidRDefault="00742FFD" w:rsidP="0074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ФОТОЛОН</w:t>
      </w:r>
    </w:p>
    <w:p w14:paraId="74487E4E" w14:textId="77777777" w:rsidR="00742FFD" w:rsidRPr="00742FFD" w:rsidRDefault="00742FFD" w:rsidP="0074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</w:t>
      </w: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FOTOLON</w:t>
      </w: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14:paraId="1C225D4A" w14:textId="77777777" w:rsidR="00742FFD" w:rsidRPr="00742FFD" w:rsidRDefault="00742FFD" w:rsidP="0074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D61A989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Склад:</w:t>
      </w:r>
    </w:p>
    <w:p w14:paraId="56B1DBD0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діюча речовина:</w:t>
      </w:r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</w:t>
      </w:r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>1 пляшка (1 флакон) містить хлорину Е</w:t>
      </w:r>
      <w:r w:rsidRPr="00742FFD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6</w:t>
      </w:r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(у перерахуванні на 100 % речовину) у вигляді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тринатрієвої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солі 50 мг або 100 мг;</w:t>
      </w:r>
    </w:p>
    <w:p w14:paraId="004A9BE6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допоміжна речовина: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повідон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з К-значенням 17.</w:t>
      </w:r>
    </w:p>
    <w:p w14:paraId="494B7828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</w:p>
    <w:p w14:paraId="6F4D79CF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Лікарська форма.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Ліофілізат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для розчину для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інфузій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0A46FC47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Основні фізико-хімічні властивості:</w:t>
      </w: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r w:rsidRPr="00742FF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пориста маса зеленкувато-чорного кольору. Допускається фіолетовий відтінок.</w:t>
      </w:r>
    </w:p>
    <w:p w14:paraId="6048EFDB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69268A0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Фармакотерапевтична</w:t>
      </w:r>
      <w:proofErr w:type="spellEnd"/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група. </w:t>
      </w:r>
    </w:p>
    <w:p w14:paraId="06896CAF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Засоби для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фотодинамічної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терапії. Код АТХ 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L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01Х 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D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611B3603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6BF3F305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Фармакологічні властивості.</w:t>
      </w:r>
    </w:p>
    <w:p w14:paraId="08BEF02B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742FF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Фармакодинаміка</w:t>
      </w:r>
      <w:proofErr w:type="spellEnd"/>
      <w:r w:rsidRPr="00742FF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14:paraId="20106416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Активна речовина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– хлорин Е</w:t>
      </w:r>
      <w:r w:rsidRPr="00742FF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uk-UA"/>
        </w:rPr>
        <w:t>6</w:t>
      </w:r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– вибірково накопичується у патологічній тканині (доброякісні та злоякісні новоутворення різного ґенезу і локалізації, що переважно характеризуються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неоваскуляризацією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) і при локальному впливу світла з довжиною хвиль 660-670 нм забезпечує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фотосенсибілізуючий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ефект, який призводить до пошкодження пухлинної тканини. Фотолон є високоінформативним діагностичним засобом при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спектрофлуоресцентному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дослідженні. </w:t>
      </w:r>
    </w:p>
    <w:p w14:paraId="2FDC57E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Фармакокінетика. </w:t>
      </w:r>
    </w:p>
    <w:p w14:paraId="33248CA3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Після внутрішньовенного введення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максимальна кількість препарату у пухлині реєструється через 3 години з моменту введення, потім концентрація активної речовини повільно знижується. У клітинах ендотелію судин максимальна кількість препарату спостерігається через 10-15 хв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val="ru-RU" w:eastAsia="uk-UA"/>
        </w:rPr>
        <w:t>илин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після початку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інфузії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. Через 24 години після внутрішньовенного введення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в крові спостерігаються слідові кількості препарату. Фотолон добре проникає через тканинні і клітинні бар’єри, спостерігається у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тимусі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шкірі, головному та кістковому мозку, селезінці, яєчниках, надниркових залозах, серці, </w:t>
      </w:r>
      <w:proofErr w:type="spellStart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надшлунковій</w:t>
      </w:r>
      <w:proofErr w:type="spellEnd"/>
      <w:r w:rsidRPr="00742FFD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залозі, шлунку, нирках, печінці, легенях.</w:t>
      </w:r>
    </w:p>
    <w:p w14:paraId="1C3415A5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52F18E9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ADB5E70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Клінічні характеристики.</w:t>
      </w:r>
    </w:p>
    <w:p w14:paraId="5CC2C69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Показання.</w:t>
      </w:r>
    </w:p>
    <w:p w14:paraId="3748F81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В онкології: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фотодинамічна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терапія злоякісних новоутворень: рак шкіри (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плоскоклітинний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базальноклітинний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), меланома, рак молочної залози та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внутрішньошкірні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метастази, рак слизових оболонок (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вульви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стравоходу, прямої кишки), діагностика злоякісних новоутворень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спектрофлуоресцентним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методом.</w:t>
      </w:r>
    </w:p>
    <w:p w14:paraId="0561E8B7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В офтальмології: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фотодинамічна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терапія захворювань органів зору, що супроводжуються розвитком новоутворених судин у його структурах (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субретинальні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неоваскулярні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мембрани при центральній інволюційній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хоріоретинальній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дистрофії та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міопічній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макулопатії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).</w:t>
      </w:r>
    </w:p>
    <w:p w14:paraId="182978F8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0A127653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Протипоказання.</w:t>
      </w:r>
    </w:p>
    <w:p w14:paraId="0151F26C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Підвищена чутливість до діючої речовини препарату або до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повідону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Виражена печінкова або ниркова недостатність, захворювання серцево-судинної системи у стадії декомпенсації. Період вагітності або годування груддю. Дитячий вік.</w:t>
      </w:r>
    </w:p>
    <w:p w14:paraId="3FCDC96A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54B4B97B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Взаємодія з іншими лікарськими засобами та інші види взаємодій.</w:t>
      </w:r>
    </w:p>
    <w:p w14:paraId="343C7E0C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Можливе одночасне застосування з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аналгезуючими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лікарськими засобами.</w:t>
      </w:r>
    </w:p>
    <w:p w14:paraId="0FBC6E73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Не рекомендується застосовувати місцеві анестетики (інфільтраційна анестезія). П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ризначення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лікарських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засобів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відносяться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</w:t>
      </w:r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групи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дерматотропних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препаратів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сприяє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ранній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епітелізації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ранового</w:t>
      </w:r>
      <w:proofErr w:type="spellEnd"/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2F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дефекту, 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посиленню росту сполучної тканини, зниженню больового синдрому. Фотолон не слід призначати одночасно з препаратами, що впливають на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фоточутливість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(антибіотики тетрациклінового і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фторхінолонового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ряду,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сульфонаміди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похідні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фенотіазину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гіпоглікемічні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засоби – похідні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сульфонілсечовини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глібенкламід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тіазидні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діуретики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гризеофульвін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) та інші препарати з відомою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фотосенсибілізуючою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активністю. Не можна застосовувати Фотолон одночасно з препаратами, які можуть послаблювати ефективність терапії, що проводиться (бета-каротин, етанол,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маніт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). Виключається одночасне призначення препаратів із відомою негативною дією на печінку, а також тих, які можуть впливати на метаболізм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хорину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і пролонгувати системну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фототоксичність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(інгібітори та індуктори 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CYP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F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4 –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циметидин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кетоконазол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ітраконазол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еритроміцин,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саквінавір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ритонавір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рифампіцин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).</w:t>
      </w:r>
    </w:p>
    <w:p w14:paraId="4AE5EE5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71F490A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Особливості застосування.</w:t>
      </w:r>
    </w:p>
    <w:p w14:paraId="4E5D96AE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У період лікування необхідно уникати сонячного та ультрафіолетового опромінення.</w:t>
      </w:r>
    </w:p>
    <w:p w14:paraId="776A668D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Пацієнт має суворо дотримуватися світлового режиму (виключається вплив прямого сонячного світла, не можна дивитися телевізор). Введення препарату слід проводити у захищеному від світла місці.</w:t>
      </w:r>
    </w:p>
    <w:p w14:paraId="47ED2B27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709D61CA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Застосування у період вагітності або годування груддю.</w:t>
      </w:r>
    </w:p>
    <w:p w14:paraId="60BD6E6E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У період вагітності застосування препарату протипоказане.</w:t>
      </w:r>
    </w:p>
    <w:p w14:paraId="5E42491A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 час лікування препаратом слід припинити годування груддю.</w:t>
      </w:r>
    </w:p>
    <w:p w14:paraId="2FFB4DCD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56E485C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Здатність впливати на швидкість реакції при керуванні автотранспортом або іншими механізмами.</w:t>
      </w:r>
    </w:p>
    <w:p w14:paraId="17EC974F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Не впливає.</w:t>
      </w:r>
    </w:p>
    <w:p w14:paraId="6A7562C6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345B4529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Спосіб застосування та дози.</w:t>
      </w:r>
    </w:p>
    <w:p w14:paraId="2C78F9B5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 онкології.</w:t>
      </w:r>
    </w:p>
    <w:p w14:paraId="381056FE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Розчин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готувати </w:t>
      </w:r>
      <w:r w:rsidRPr="00742FF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uk-UA"/>
        </w:rPr>
        <w:t>ex tempore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Препарат застосовувати дорослим внутрішньовенно в дозі 2,5-3 мг на </w:t>
      </w:r>
      <w:smartTag w:uri="urn:schemas-microsoft-com:office:smarttags" w:element="metricconverter">
        <w:smartTagPr>
          <w:attr w:name="ProductID" w:val="1 кг"/>
        </w:smartTagPr>
        <w:r w:rsidRPr="00742FFD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1 кг</w:t>
        </w:r>
      </w:smartTag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маси тіла. Розраховану дозу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розчиняти у 200 мл фізіологічного розчину та вводити у вигляді внутрішньовенної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інфузії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краплинно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протягом 30 хвилин. Через 3-4 години після введення препарату проводити сеанс локального опромінювання пухлини в дозі 100-600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Дж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/см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uk-UA"/>
        </w:rPr>
        <w:t xml:space="preserve">2 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 сеанс за допомогою лазерних апаратів, які генерують випромінювання з довжиною хвиль 660-670 нм.</w:t>
      </w:r>
    </w:p>
    <w:p w14:paraId="65E617A0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 офтальмології.</w:t>
      </w:r>
    </w:p>
    <w:p w14:paraId="47254EA9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Розчин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готувати </w:t>
      </w:r>
      <w:r w:rsidRPr="00742FF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uk-UA"/>
        </w:rPr>
        <w:t>ex tempore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Препарат застосовувати дорослим у дозі 6-8 мг/м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uk-UA"/>
        </w:rPr>
        <w:t>2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поверхні тіла. Розраховану дозу розчиняти у відповідному об’ємі 0,9 % розчину натрію хлориду до кінцевої концентрації 2 мг/мл (до вмісту пляшки/флакона з 50 мг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додати 25 мл розчинника, до вмісту пляшки/флакона зі 100 мг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додати 50 мл розчинника). Дозі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10,6 мг відповідає 5,3 мл розчину; дозі 14,4 мг – 7,2 мл. Потім довести об’єм 0,9 % розчину натрію хлориду до 30 мл. Отриманий розчин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вводити внутрішньовенно зі швидкістю 3 мл/хв з використанням шприцевого дозатора, що програмується. Одночасно з початком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інфузії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включити таймер. Тривалість введення –   10 хвилин. Лазерне опромінення проводити через 10-15 хвилин після початку введення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Фотолону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(але не пізніше 20 хвилин). Інтенсивність оптичного випромінювання –          600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мВт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/см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uk-UA"/>
        </w:rPr>
        <w:t>2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Доза опромінення – 50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Дж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/см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uk-UA"/>
        </w:rPr>
        <w:t>2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Для досягнення необхідної дози опромінення при дотриманні даних параметрів опромінення потребується приблизно 83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сек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7D4774B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14:paraId="3954BF8F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Діти.</w:t>
      </w:r>
    </w:p>
    <w:p w14:paraId="0345A433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Не застосовувати.</w:t>
      </w:r>
    </w:p>
    <w:p w14:paraId="21B8E470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14:paraId="4D206119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Передозування. </w:t>
      </w:r>
    </w:p>
    <w:p w14:paraId="6E39E6B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Симптоми: 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задишка, тахікардія, підвищення артеріального тиску, збудження, що переходить у пригнічення, гіпотермія. При проведенні сеансу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фотодинамічної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терапії із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Фотолоном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при лікуванні офтальмологічної патології можливе передозування препарату, а також перевищення дози опромінення. У такому разі можливі ускладнення, пов’язані з неселективним впливом фотосенсибілізатора на судини сітківки, у числі яких – відсутність перфузії нормальних судин (капілярів) сітківки, крововиливи у склоподібне тіло,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субретинальна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та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інтраретинальна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кровотеча, посилення фіброзу, різке зниження гостроти зору протягом 7 днів після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фотодинамічної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терапії, що може зберігатися тривалий час.</w:t>
      </w:r>
    </w:p>
    <w:p w14:paraId="3E547370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Лікування: </w:t>
      </w: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симптоматична терапія. Специфічний антидот відсутній.</w:t>
      </w:r>
    </w:p>
    <w:p w14:paraId="48DD66D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14:paraId="70BEB65E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Побічні реакції.</w:t>
      </w:r>
    </w:p>
    <w:p w14:paraId="5F672ECE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Підвищення температури тіла і біль у ділянці опромінення (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купіруються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аналгезуючими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препаратами), підвищення артеріального тиску у хворих із супутніми захворюваннями серцево-судинної системи. При введенні у терапевтичних дозах має слабко виражену системну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фототоксичність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47B7C0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У перший тиждень після введення препарату при порушенні світлового режиму у хворих може розвинутися гіперемія і набряк відкритих поверхонь тіла (без пігментації). Потенційними побічними ефектами з боку органів зору (у поодиноких випадках) можливе зниження гостроти зору, дефекти полів зору, сльозотеча,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субретинальний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крововилив, крововилив у склоподібне тіло.</w:t>
      </w:r>
    </w:p>
    <w:p w14:paraId="60515D7F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14:paraId="2C7CCC3F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Термін придатності.</w:t>
      </w:r>
    </w:p>
    <w:p w14:paraId="4AB4511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 роки.</w:t>
      </w:r>
    </w:p>
    <w:p w14:paraId="0297049F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7698FC8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зберігання.</w:t>
      </w:r>
    </w:p>
    <w:p w14:paraId="661C02A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Зберігати в захищеному від світла місці при температурі від 2 °С до 8 °С.</w:t>
      </w:r>
    </w:p>
    <w:p w14:paraId="5B9DF7E9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Зберігати у недоступному для дітей місці.</w:t>
      </w:r>
    </w:p>
    <w:p w14:paraId="563C9789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6D8E403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Несумісність. </w:t>
      </w:r>
    </w:p>
    <w:p w14:paraId="0541F824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sz w:val="24"/>
          <w:szCs w:val="24"/>
          <w:lang w:eastAsia="uk-UA"/>
        </w:rPr>
        <w:t>Сумісний з 0,9 % розчином натрію хлориду (див. розділ «Спосіб застосування та дози»).</w:t>
      </w:r>
    </w:p>
    <w:p w14:paraId="4ED92A4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7C37141E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Упаковка.</w:t>
      </w:r>
    </w:p>
    <w:p w14:paraId="680BC38C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 50 мг та 100 мг у пляшках або флаконах. По 1 пляшці або флакону в картонній пачці.</w:t>
      </w:r>
    </w:p>
    <w:p w14:paraId="2659CD6B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5E2A4980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Категорія відпуску.</w:t>
      </w:r>
    </w:p>
    <w:p w14:paraId="1752A638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 рецептом.</w:t>
      </w:r>
    </w:p>
    <w:p w14:paraId="58BF6957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423914E2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Виробник.</w:t>
      </w:r>
    </w:p>
    <w:p w14:paraId="22E2F99F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РУП «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Бєлмедпрепарати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».</w:t>
      </w:r>
    </w:p>
    <w:p w14:paraId="788F023B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2155777D" w14:textId="77777777" w:rsidR="00742FFD" w:rsidRPr="00742FFD" w:rsidRDefault="00742FFD" w:rsidP="00742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Місцезнаходження виробника та адреса місця провадження його діяльності.</w:t>
      </w:r>
    </w:p>
    <w:p w14:paraId="66D5B92B" w14:textId="77777777" w:rsidR="00742FFD" w:rsidRPr="00742FFD" w:rsidRDefault="00742FFD" w:rsidP="00742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Республіка Білорусь, </w:t>
      </w:r>
      <w:smartTag w:uri="urn:schemas-microsoft-com:office:smarttags" w:element="metricconverter">
        <w:smartTagPr>
          <w:attr w:name="ProductID" w:val="220007, м"/>
        </w:smartTagPr>
        <w:r w:rsidRPr="00742FFD">
          <w:rPr>
            <w:rFonts w:ascii="Times New Roman" w:eastAsia="Times New Roman" w:hAnsi="Times New Roman" w:cs="Times New Roman"/>
            <w:bCs/>
            <w:sz w:val="24"/>
            <w:szCs w:val="24"/>
            <w:lang w:eastAsia="uk-UA"/>
          </w:rPr>
          <w:t>220007, м</w:t>
        </w:r>
      </w:smartTag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Мінськ, вул. </w:t>
      </w:r>
      <w:proofErr w:type="spellStart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Фабриціуса</w:t>
      </w:r>
      <w:proofErr w:type="spellEnd"/>
      <w:r w:rsidRPr="00742FF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30.</w:t>
      </w:r>
    </w:p>
    <w:p w14:paraId="2C0E9BE7" w14:textId="77777777" w:rsidR="007F413F" w:rsidRDefault="007F413F"/>
    <w:sectPr w:rsidR="007F41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FD"/>
    <w:rsid w:val="00742FFD"/>
    <w:rsid w:val="007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4:docId w14:val="0C82CBF2"/>
  <w15:chartTrackingRefBased/>
  <w15:docId w15:val="{614A1A93-6967-4E96-B977-162EB1AF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4973</Words>
  <Characters>2836</Characters>
  <Application>Microsoft Office Word</Application>
  <DocSecurity>0</DocSecurity>
  <Lines>23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Grechko</dc:creator>
  <cp:keywords/>
  <dc:description/>
  <cp:lastModifiedBy/>
  <cp:revision>1</cp:revision>
  <dcterms:created xsi:type="dcterms:W3CDTF">2020-07-29T13:24:00Z</dcterms:created>
</cp:coreProperties>
</file>