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AFFD" w14:textId="77777777" w:rsidR="001944A6" w:rsidRPr="006F07FC" w:rsidRDefault="001944A6" w:rsidP="001944A6">
      <w:pPr>
        <w:ind w:left="5664"/>
        <w:jc w:val="center"/>
        <w:rPr>
          <w:b/>
          <w:lang w:val="uk-UA"/>
        </w:rPr>
      </w:pPr>
      <w:r w:rsidRPr="006F07FC">
        <w:rPr>
          <w:b/>
          <w:lang w:val="uk-UA"/>
        </w:rPr>
        <w:t>ЗАТВЕРДЖЕНО</w:t>
      </w:r>
    </w:p>
    <w:p w14:paraId="1FA25E65" w14:textId="77777777" w:rsidR="001944A6" w:rsidRPr="006F07FC" w:rsidRDefault="001944A6" w:rsidP="001944A6">
      <w:pPr>
        <w:ind w:left="5664"/>
        <w:jc w:val="center"/>
        <w:rPr>
          <w:b/>
          <w:lang w:val="uk-UA"/>
        </w:rPr>
      </w:pPr>
      <w:r w:rsidRPr="006F07FC">
        <w:rPr>
          <w:b/>
          <w:lang w:val="uk-UA"/>
        </w:rPr>
        <w:t>Наказ Міністерства охорони</w:t>
      </w:r>
    </w:p>
    <w:p w14:paraId="330C083B" w14:textId="77777777" w:rsidR="001944A6" w:rsidRPr="006F07FC" w:rsidRDefault="001944A6" w:rsidP="001944A6">
      <w:pPr>
        <w:ind w:left="5664"/>
        <w:jc w:val="center"/>
        <w:rPr>
          <w:b/>
          <w:lang w:val="uk-UA"/>
        </w:rPr>
      </w:pPr>
      <w:r w:rsidRPr="006F07FC">
        <w:rPr>
          <w:b/>
          <w:lang w:val="uk-UA"/>
        </w:rPr>
        <w:t>здоров’я України</w:t>
      </w:r>
    </w:p>
    <w:p w14:paraId="6FA49A78" w14:textId="77777777" w:rsidR="001944A6" w:rsidRPr="006F07FC" w:rsidRDefault="001944A6" w:rsidP="001944A6">
      <w:pPr>
        <w:ind w:left="5664"/>
        <w:jc w:val="center"/>
        <w:rPr>
          <w:b/>
          <w:lang w:val="uk-UA"/>
        </w:rPr>
      </w:pPr>
      <w:r w:rsidRPr="006F07FC">
        <w:rPr>
          <w:b/>
          <w:lang w:val="uk-UA"/>
        </w:rPr>
        <w:t>_________ № __________</w:t>
      </w:r>
    </w:p>
    <w:p w14:paraId="18C6E209" w14:textId="77777777" w:rsidR="001944A6" w:rsidRPr="006F07FC" w:rsidRDefault="001944A6" w:rsidP="001944A6">
      <w:pPr>
        <w:ind w:left="5664"/>
        <w:jc w:val="center"/>
        <w:rPr>
          <w:b/>
          <w:lang w:val="uk-UA"/>
        </w:rPr>
      </w:pPr>
      <w:r w:rsidRPr="006F07FC">
        <w:rPr>
          <w:b/>
          <w:lang w:val="uk-UA"/>
        </w:rPr>
        <w:t>Реєстраційне посвідчення</w:t>
      </w:r>
    </w:p>
    <w:p w14:paraId="20DA313D" w14:textId="77777777" w:rsidR="001944A6" w:rsidRPr="006F07FC" w:rsidRDefault="001944A6" w:rsidP="001944A6">
      <w:pPr>
        <w:ind w:left="5664"/>
        <w:jc w:val="center"/>
        <w:rPr>
          <w:b/>
          <w:lang w:val="uk-UA"/>
        </w:rPr>
      </w:pPr>
      <w:r w:rsidRPr="006F07FC">
        <w:rPr>
          <w:b/>
          <w:lang w:val="uk-UA"/>
        </w:rPr>
        <w:t>№ ________________</w:t>
      </w:r>
    </w:p>
    <w:p w14:paraId="6D9FACF3" w14:textId="77777777" w:rsidR="00210248" w:rsidRDefault="00210248" w:rsidP="001944A6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14:paraId="21BAE489" w14:textId="77777777" w:rsidR="00210248" w:rsidRDefault="00210248" w:rsidP="001944A6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14:paraId="19DE11CC" w14:textId="77777777" w:rsidR="001944A6" w:rsidRPr="006F07FC" w:rsidRDefault="001944A6" w:rsidP="001944A6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F07FC">
        <w:rPr>
          <w:sz w:val="24"/>
          <w:szCs w:val="24"/>
          <w:lang w:val="uk-UA"/>
        </w:rPr>
        <w:t>ІНСТРУКЦІЯ</w:t>
      </w:r>
    </w:p>
    <w:p w14:paraId="775D7129" w14:textId="77777777" w:rsidR="001944A6" w:rsidRPr="006F07FC" w:rsidRDefault="001944A6" w:rsidP="001944A6">
      <w:pPr>
        <w:jc w:val="center"/>
        <w:rPr>
          <w:b/>
          <w:lang w:val="uk-UA"/>
        </w:rPr>
      </w:pPr>
      <w:r w:rsidRPr="006F07FC">
        <w:rPr>
          <w:b/>
          <w:lang w:val="uk-UA"/>
        </w:rPr>
        <w:t>для медичного застосування лікарського засобу</w:t>
      </w:r>
    </w:p>
    <w:p w14:paraId="56CB189F" w14:textId="77777777" w:rsidR="003A0054" w:rsidRPr="006F07FC" w:rsidRDefault="003A0054" w:rsidP="001944A6">
      <w:pPr>
        <w:jc w:val="center"/>
        <w:rPr>
          <w:b/>
          <w:lang w:val="uk-UA"/>
        </w:rPr>
      </w:pPr>
    </w:p>
    <w:p w14:paraId="487C66CD" w14:textId="77777777" w:rsidR="001944A6" w:rsidRPr="006F07FC" w:rsidRDefault="003A0054" w:rsidP="001944A6">
      <w:pPr>
        <w:jc w:val="center"/>
        <w:rPr>
          <w:b/>
          <w:lang w:val="uk-UA"/>
        </w:rPr>
      </w:pPr>
      <w:r w:rsidRPr="006F07FC">
        <w:rPr>
          <w:b/>
          <w:color w:val="000000"/>
          <w:lang w:val="uk-UA"/>
        </w:rPr>
        <w:t>ТІОКТОН</w:t>
      </w:r>
    </w:p>
    <w:p w14:paraId="6780948C" w14:textId="77777777" w:rsidR="001944A6" w:rsidRPr="006F07FC" w:rsidRDefault="001944A6" w:rsidP="001944A6">
      <w:pPr>
        <w:jc w:val="center"/>
        <w:rPr>
          <w:b/>
          <w:lang w:val="uk-UA"/>
        </w:rPr>
      </w:pPr>
    </w:p>
    <w:p w14:paraId="4ACFA30A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6F07FC">
        <w:rPr>
          <w:b/>
          <w:bCs/>
          <w:i/>
          <w:iCs/>
          <w:lang w:val="uk-UA"/>
        </w:rPr>
        <w:t>Склад:</w:t>
      </w:r>
    </w:p>
    <w:p w14:paraId="1AAE8ADB" w14:textId="77777777" w:rsidR="00B36FE2" w:rsidRPr="006F07FC" w:rsidRDefault="00B36FE2" w:rsidP="00D21FE4">
      <w:pPr>
        <w:pStyle w:val="a3"/>
        <w:spacing w:before="0" w:beforeAutospacing="0" w:after="0" w:afterAutospacing="0"/>
        <w:jc w:val="both"/>
        <w:rPr>
          <w:spacing w:val="-2"/>
          <w:lang w:val="uk-UA" w:eastAsia="uk-UA"/>
        </w:rPr>
      </w:pPr>
      <w:r w:rsidRPr="006F07FC">
        <w:rPr>
          <w:i/>
          <w:iCs/>
          <w:lang w:val="uk-UA"/>
        </w:rPr>
        <w:t>діюча речовина</w:t>
      </w:r>
      <w:r w:rsidR="002D25F0" w:rsidRPr="006F07FC">
        <w:rPr>
          <w:i/>
          <w:iCs/>
          <w:lang w:val="uk-UA"/>
        </w:rPr>
        <w:t>:</w:t>
      </w:r>
      <w:r w:rsidR="002D25F0" w:rsidRPr="006F07FC">
        <w:rPr>
          <w:bCs/>
          <w:iCs/>
          <w:lang w:val="uk-UA"/>
        </w:rPr>
        <w:t xml:space="preserve"> </w:t>
      </w:r>
      <w:proofErr w:type="spellStart"/>
      <w:r w:rsidRPr="006F07FC">
        <w:rPr>
          <w:bCs/>
          <w:iCs/>
          <w:lang w:val="uk-UA"/>
        </w:rPr>
        <w:t>т</w:t>
      </w:r>
      <w:r w:rsidRPr="006F07FC">
        <w:rPr>
          <w:lang w:val="uk-UA" w:eastAsia="uk-UA"/>
        </w:rPr>
        <w:t>іоктова</w:t>
      </w:r>
      <w:proofErr w:type="spellEnd"/>
      <w:r w:rsidRPr="006F07FC">
        <w:rPr>
          <w:lang w:val="uk-UA" w:eastAsia="uk-UA"/>
        </w:rPr>
        <w:t xml:space="preserve"> (α-</w:t>
      </w:r>
      <w:proofErr w:type="spellStart"/>
      <w:r w:rsidRPr="006F07FC">
        <w:rPr>
          <w:lang w:val="uk-UA" w:eastAsia="uk-UA"/>
        </w:rPr>
        <w:t>ліпоєва</w:t>
      </w:r>
      <w:proofErr w:type="spellEnd"/>
      <w:r w:rsidRPr="006F07FC">
        <w:rPr>
          <w:lang w:val="uk-UA" w:eastAsia="uk-UA"/>
        </w:rPr>
        <w:t>) кислота;</w:t>
      </w:r>
      <w:r w:rsidRPr="006F07FC">
        <w:rPr>
          <w:spacing w:val="-2"/>
          <w:lang w:val="uk-UA" w:eastAsia="uk-UA"/>
        </w:rPr>
        <w:t xml:space="preserve"> </w:t>
      </w:r>
    </w:p>
    <w:p w14:paraId="3511AD54" w14:textId="77777777" w:rsidR="008A1FFE" w:rsidRPr="006F07FC" w:rsidRDefault="008A1FFE" w:rsidP="008A1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 w:rsidRPr="006F07FC">
        <w:rPr>
          <w:spacing w:val="-2"/>
          <w:lang w:val="uk-UA" w:eastAsia="uk-UA"/>
        </w:rPr>
        <w:t xml:space="preserve">1 флакон розчину містить </w:t>
      </w:r>
      <w:proofErr w:type="spellStart"/>
      <w:r w:rsidRPr="006F07FC">
        <w:rPr>
          <w:spacing w:val="-2"/>
          <w:lang w:val="uk-UA" w:eastAsia="uk-UA"/>
        </w:rPr>
        <w:t>трометамолу</w:t>
      </w:r>
      <w:proofErr w:type="spellEnd"/>
      <w:r w:rsidRPr="006F07FC">
        <w:rPr>
          <w:spacing w:val="-2"/>
          <w:lang w:val="uk-UA" w:eastAsia="uk-UA"/>
        </w:rPr>
        <w:t xml:space="preserve"> </w:t>
      </w:r>
      <w:proofErr w:type="spellStart"/>
      <w:r w:rsidR="00794E26" w:rsidRPr="006F07FC">
        <w:rPr>
          <w:spacing w:val="-2"/>
          <w:lang w:val="uk-UA" w:eastAsia="uk-UA"/>
        </w:rPr>
        <w:t>тіоктату</w:t>
      </w:r>
      <w:proofErr w:type="spellEnd"/>
      <w:r w:rsidR="00794E26" w:rsidRPr="006F07FC">
        <w:rPr>
          <w:spacing w:val="-2"/>
          <w:lang w:val="uk-UA" w:eastAsia="uk-UA"/>
        </w:rPr>
        <w:t xml:space="preserve"> </w:t>
      </w:r>
      <w:r w:rsidRPr="006F07FC">
        <w:rPr>
          <w:lang w:val="uk-UA" w:eastAsia="uk-UA"/>
        </w:rPr>
        <w:t>952,2</w:t>
      </w:r>
      <w:r w:rsidR="00242058" w:rsidRPr="006F07FC">
        <w:rPr>
          <w:lang w:val="uk-UA" w:eastAsia="uk-UA"/>
        </w:rPr>
        <w:t>876</w:t>
      </w:r>
      <w:r w:rsidRPr="006F07FC">
        <w:rPr>
          <w:lang w:val="uk-UA" w:eastAsia="uk-UA"/>
        </w:rPr>
        <w:t xml:space="preserve"> мг (еквівалентно 600 мг </w:t>
      </w:r>
      <w:proofErr w:type="spellStart"/>
      <w:r w:rsidR="00794E26" w:rsidRPr="006F07FC">
        <w:rPr>
          <w:lang w:val="uk-UA" w:eastAsia="uk-UA"/>
        </w:rPr>
        <w:t>тіоктової</w:t>
      </w:r>
      <w:proofErr w:type="spellEnd"/>
      <w:r w:rsidR="00794E26" w:rsidRPr="006F07FC">
        <w:rPr>
          <w:lang w:val="uk-UA" w:eastAsia="uk-UA"/>
        </w:rPr>
        <w:t xml:space="preserve"> </w:t>
      </w:r>
      <w:r w:rsidRPr="006F07FC">
        <w:rPr>
          <w:lang w:val="uk-UA" w:eastAsia="uk-UA"/>
        </w:rPr>
        <w:t>(</w:t>
      </w:r>
      <w:r w:rsidR="00794E26" w:rsidRPr="006F07FC">
        <w:rPr>
          <w:lang w:val="uk-UA" w:eastAsia="uk-UA"/>
        </w:rPr>
        <w:t>α-</w:t>
      </w:r>
      <w:proofErr w:type="spellStart"/>
      <w:r w:rsidR="00794E26" w:rsidRPr="006F07FC">
        <w:rPr>
          <w:lang w:val="uk-UA" w:eastAsia="uk-UA"/>
        </w:rPr>
        <w:t>ліпоєвої</w:t>
      </w:r>
      <w:proofErr w:type="spellEnd"/>
      <w:r w:rsidRPr="006F07FC">
        <w:rPr>
          <w:lang w:val="uk-UA" w:eastAsia="uk-UA"/>
        </w:rPr>
        <w:t>) кислоти);</w:t>
      </w:r>
    </w:p>
    <w:p w14:paraId="02334B15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6F07FC">
        <w:rPr>
          <w:i/>
          <w:iCs/>
          <w:lang w:val="uk-UA"/>
        </w:rPr>
        <w:t>допоміжні речовини:</w:t>
      </w:r>
      <w:r w:rsidR="00242058" w:rsidRPr="006F07FC">
        <w:rPr>
          <w:i/>
          <w:iCs/>
          <w:lang w:val="uk-UA"/>
        </w:rPr>
        <w:t xml:space="preserve"> </w:t>
      </w:r>
      <w:proofErr w:type="spellStart"/>
      <w:r w:rsidR="00242058" w:rsidRPr="006F07FC">
        <w:rPr>
          <w:lang w:val="uk-UA" w:eastAsia="uk-UA"/>
        </w:rPr>
        <w:t>трометамол</w:t>
      </w:r>
      <w:proofErr w:type="spellEnd"/>
      <w:r w:rsidR="00242058" w:rsidRPr="006F07FC">
        <w:rPr>
          <w:lang w:val="uk-UA" w:eastAsia="uk-UA"/>
        </w:rPr>
        <w:t>,</w:t>
      </w:r>
      <w:r w:rsidR="00EC10D1" w:rsidRPr="006F07FC">
        <w:rPr>
          <w:lang w:val="uk-UA" w:eastAsia="uk-UA"/>
        </w:rPr>
        <w:t xml:space="preserve"> 1 М роз</w:t>
      </w:r>
      <w:r w:rsidR="00FA5612" w:rsidRPr="006F07FC">
        <w:rPr>
          <w:lang w:val="uk-UA" w:eastAsia="uk-UA"/>
        </w:rPr>
        <w:t xml:space="preserve">чин </w:t>
      </w:r>
      <w:proofErr w:type="spellStart"/>
      <w:r w:rsidR="00FA5612" w:rsidRPr="006F07FC">
        <w:rPr>
          <w:lang w:val="uk-UA" w:eastAsia="uk-UA"/>
        </w:rPr>
        <w:t>трометамолу</w:t>
      </w:r>
      <w:proofErr w:type="spellEnd"/>
      <w:r w:rsidR="00FA5612" w:rsidRPr="006F07FC">
        <w:rPr>
          <w:lang w:val="uk-UA" w:eastAsia="uk-UA"/>
        </w:rPr>
        <w:t>,</w:t>
      </w:r>
      <w:r w:rsidR="006F07FC" w:rsidRPr="006F07FC">
        <w:rPr>
          <w:lang w:val="uk-UA" w:eastAsia="uk-UA"/>
        </w:rPr>
        <w:t xml:space="preserve"> вода для ін</w:t>
      </w:r>
      <w:r w:rsidR="006F07FC">
        <w:rPr>
          <w:lang w:val="uk-UA" w:eastAsia="uk-UA"/>
        </w:rPr>
        <w:t>’</w:t>
      </w:r>
      <w:r w:rsidR="00242058" w:rsidRPr="006F07FC">
        <w:rPr>
          <w:lang w:val="uk-UA" w:eastAsia="uk-UA"/>
        </w:rPr>
        <w:t>єкцій.</w:t>
      </w:r>
    </w:p>
    <w:p w14:paraId="04D416C3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779D7CF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6F07FC">
        <w:rPr>
          <w:b/>
          <w:bCs/>
          <w:lang w:val="uk-UA"/>
        </w:rPr>
        <w:t>Лікарська форма.</w:t>
      </w:r>
      <w:r w:rsidR="003A3E04" w:rsidRPr="006F07FC">
        <w:rPr>
          <w:b/>
          <w:bCs/>
          <w:lang w:val="uk-UA"/>
        </w:rPr>
        <w:t xml:space="preserve"> </w:t>
      </w:r>
      <w:r w:rsidR="003A3E04" w:rsidRPr="006F07FC">
        <w:rPr>
          <w:bCs/>
          <w:lang w:val="uk-UA"/>
        </w:rPr>
        <w:t>Розчин для ін’єкцій.</w:t>
      </w:r>
    </w:p>
    <w:p w14:paraId="78590E08" w14:textId="77777777" w:rsidR="008F00EA" w:rsidRPr="006F07FC" w:rsidRDefault="002D25F0" w:rsidP="008F00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 w:rsidRPr="006F07FC">
        <w:rPr>
          <w:i/>
          <w:iCs/>
          <w:lang w:val="uk-UA"/>
        </w:rPr>
        <w:t>Основні фізико-хімічні властивості:</w:t>
      </w:r>
      <w:r w:rsidR="008F00EA" w:rsidRPr="006F07FC">
        <w:rPr>
          <w:i/>
          <w:iCs/>
          <w:lang w:val="uk-UA"/>
        </w:rPr>
        <w:t xml:space="preserve"> </w:t>
      </w:r>
      <w:r w:rsidR="008F00EA" w:rsidRPr="006F07FC">
        <w:rPr>
          <w:lang w:val="uk-UA" w:eastAsia="uk-UA"/>
        </w:rPr>
        <w:t>прозорий розчин жовтуватого кольору, практично вільний від видимих часток.</w:t>
      </w:r>
    </w:p>
    <w:p w14:paraId="0B7C44C4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3966D06C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proofErr w:type="spellStart"/>
      <w:r w:rsidRPr="006F07FC">
        <w:rPr>
          <w:b/>
          <w:bCs/>
          <w:lang w:val="uk-UA"/>
        </w:rPr>
        <w:t>Фармакотерапевтична</w:t>
      </w:r>
      <w:proofErr w:type="spellEnd"/>
      <w:r w:rsidRPr="006F07FC">
        <w:rPr>
          <w:b/>
          <w:bCs/>
          <w:lang w:val="uk-UA"/>
        </w:rPr>
        <w:t xml:space="preserve"> група. </w:t>
      </w:r>
      <w:r w:rsidR="003A3E04" w:rsidRPr="006F07FC">
        <w:rPr>
          <w:b/>
          <w:bCs/>
          <w:lang w:val="uk-UA"/>
        </w:rPr>
        <w:t xml:space="preserve"> </w:t>
      </w:r>
      <w:r w:rsidR="003A3E04" w:rsidRPr="006F07FC">
        <w:rPr>
          <w:lang w:val="uk-UA"/>
        </w:rPr>
        <w:t xml:space="preserve">Засоби, що впливають на травну систему і метаболічні процеси. Кислота </w:t>
      </w:r>
      <w:proofErr w:type="spellStart"/>
      <w:r w:rsidR="003A3E04" w:rsidRPr="006F07FC">
        <w:rPr>
          <w:lang w:val="uk-UA"/>
        </w:rPr>
        <w:t>тіоктова</w:t>
      </w:r>
      <w:proofErr w:type="spellEnd"/>
      <w:r w:rsidR="003A3E04" w:rsidRPr="006F07FC">
        <w:rPr>
          <w:lang w:val="uk-UA"/>
        </w:rPr>
        <w:t xml:space="preserve">. Код </w:t>
      </w:r>
      <w:r w:rsidR="00E02190" w:rsidRPr="006F07FC">
        <w:rPr>
          <w:lang w:val="uk-UA"/>
        </w:rPr>
        <w:t>А16А</w:t>
      </w:r>
      <w:r w:rsidR="00AA6789">
        <w:rPr>
          <w:lang w:val="uk-UA"/>
        </w:rPr>
        <w:t xml:space="preserve"> </w:t>
      </w:r>
      <w:r w:rsidR="00E02190" w:rsidRPr="006F07FC">
        <w:rPr>
          <w:lang w:val="uk-UA"/>
        </w:rPr>
        <w:t>Х0</w:t>
      </w:r>
      <w:r w:rsidR="00AA6789">
        <w:rPr>
          <w:lang w:val="uk-UA"/>
        </w:rPr>
        <w:t>1</w:t>
      </w:r>
      <w:r w:rsidR="00E02190" w:rsidRPr="006F07FC">
        <w:rPr>
          <w:lang w:val="uk-UA"/>
        </w:rPr>
        <w:t>.</w:t>
      </w:r>
    </w:p>
    <w:p w14:paraId="38568212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69C8C746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6F07FC">
        <w:rPr>
          <w:b/>
          <w:bCs/>
          <w:i/>
          <w:iCs/>
          <w:lang w:val="uk-UA"/>
        </w:rPr>
        <w:t>Фармакологічні властивості</w:t>
      </w:r>
      <w:r w:rsidR="003A0054" w:rsidRPr="006F07FC">
        <w:rPr>
          <w:b/>
          <w:bCs/>
          <w:i/>
          <w:iCs/>
          <w:lang w:val="uk-UA"/>
        </w:rPr>
        <w:t>.</w:t>
      </w:r>
    </w:p>
    <w:p w14:paraId="5691C75B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proofErr w:type="spellStart"/>
      <w:r w:rsidRPr="006F07FC">
        <w:rPr>
          <w:i/>
          <w:iCs/>
          <w:lang w:val="uk-UA"/>
        </w:rPr>
        <w:t>Фармакодинаміка</w:t>
      </w:r>
      <w:proofErr w:type="spellEnd"/>
      <w:r w:rsidRPr="006F07FC">
        <w:rPr>
          <w:i/>
          <w:iCs/>
          <w:lang w:val="uk-UA"/>
        </w:rPr>
        <w:t>.</w:t>
      </w:r>
    </w:p>
    <w:p w14:paraId="3199E2B9" w14:textId="77777777" w:rsidR="00AA4A67" w:rsidRPr="006F07FC" w:rsidRDefault="00AA4A67" w:rsidP="004B4805">
      <w:pPr>
        <w:jc w:val="both"/>
        <w:rPr>
          <w:lang w:val="uk-UA"/>
        </w:rPr>
      </w:pPr>
      <w:proofErr w:type="spellStart"/>
      <w:r w:rsidRPr="006F07FC">
        <w:rPr>
          <w:lang w:val="uk-UA"/>
        </w:rPr>
        <w:t>Тіоктова</w:t>
      </w:r>
      <w:proofErr w:type="spellEnd"/>
      <w:r w:rsidRPr="006F07FC">
        <w:rPr>
          <w:lang w:val="uk-UA"/>
        </w:rPr>
        <w:t xml:space="preserve"> </w:t>
      </w:r>
      <w:r w:rsidR="004B4805" w:rsidRPr="006F07FC">
        <w:rPr>
          <w:lang w:val="uk-UA"/>
        </w:rPr>
        <w:t xml:space="preserve">кислота </w:t>
      </w:r>
      <w:r w:rsidRPr="006F07FC">
        <w:rPr>
          <w:lang w:val="uk-UA"/>
        </w:rPr>
        <w:t>(α-</w:t>
      </w:r>
      <w:proofErr w:type="spellStart"/>
      <w:r w:rsidRPr="006F07FC">
        <w:rPr>
          <w:lang w:val="uk-UA"/>
        </w:rPr>
        <w:t>ліпоєва</w:t>
      </w:r>
      <w:proofErr w:type="spellEnd"/>
      <w:r w:rsidRPr="006F07FC">
        <w:rPr>
          <w:lang w:val="uk-UA"/>
        </w:rPr>
        <w:t xml:space="preserve"> кислота</w:t>
      </w:r>
      <w:r w:rsidR="004B4805" w:rsidRPr="006F07FC">
        <w:rPr>
          <w:lang w:val="uk-UA"/>
        </w:rPr>
        <w:t>)</w:t>
      </w:r>
      <w:r w:rsidRPr="006F07FC">
        <w:rPr>
          <w:lang w:val="uk-UA"/>
        </w:rPr>
        <w:t xml:space="preserve"> – це вітаміноподібна речовина ендогенного походження, що має функцію </w:t>
      </w:r>
      <w:proofErr w:type="spellStart"/>
      <w:r w:rsidRPr="006F07FC">
        <w:rPr>
          <w:lang w:val="uk-UA"/>
        </w:rPr>
        <w:t>коензиму</w:t>
      </w:r>
      <w:proofErr w:type="spellEnd"/>
      <w:r w:rsidRPr="006F07FC">
        <w:rPr>
          <w:lang w:val="uk-UA"/>
        </w:rPr>
        <w:t xml:space="preserve"> в </w:t>
      </w:r>
      <w:proofErr w:type="spellStart"/>
      <w:r w:rsidRPr="006F07FC">
        <w:rPr>
          <w:lang w:val="uk-UA"/>
        </w:rPr>
        <w:t>оксидантному</w:t>
      </w:r>
      <w:proofErr w:type="spellEnd"/>
      <w:r w:rsidRPr="006F07FC">
        <w:rPr>
          <w:lang w:val="uk-UA"/>
        </w:rPr>
        <w:t xml:space="preserve"> декарбоксилуванні α-кетокислот.</w:t>
      </w:r>
    </w:p>
    <w:p w14:paraId="779BA5ED" w14:textId="77777777" w:rsidR="00AA4A67" w:rsidRPr="006F07FC" w:rsidRDefault="00AA4A67" w:rsidP="004B4805">
      <w:pPr>
        <w:jc w:val="both"/>
        <w:rPr>
          <w:lang w:val="uk-UA"/>
        </w:rPr>
      </w:pPr>
      <w:r w:rsidRPr="006F07FC">
        <w:rPr>
          <w:lang w:val="uk-UA"/>
        </w:rPr>
        <w:t xml:space="preserve">Гіперглікемія, яку </w:t>
      </w:r>
      <w:r w:rsidR="00AA6789">
        <w:rPr>
          <w:lang w:val="uk-UA"/>
        </w:rPr>
        <w:t>спричиняє</w:t>
      </w:r>
      <w:r w:rsidRPr="006F07FC">
        <w:rPr>
          <w:lang w:val="uk-UA"/>
        </w:rPr>
        <w:t xml:space="preserve"> цукровий діабет, призво</w:t>
      </w:r>
      <w:r w:rsidR="00AA6789">
        <w:rPr>
          <w:lang w:val="uk-UA"/>
        </w:rPr>
        <w:t xml:space="preserve">дить до накопичення так званих </w:t>
      </w:r>
      <w:r w:rsidRPr="006F07FC">
        <w:rPr>
          <w:lang w:val="uk-UA"/>
        </w:rPr>
        <w:t>кінцевих пр</w:t>
      </w:r>
      <w:r w:rsidR="008D68A4">
        <w:rPr>
          <w:lang w:val="uk-UA"/>
        </w:rPr>
        <w:t xml:space="preserve">одуктів розвинутої </w:t>
      </w:r>
      <w:proofErr w:type="spellStart"/>
      <w:r w:rsidR="008D68A4">
        <w:rPr>
          <w:lang w:val="uk-UA"/>
        </w:rPr>
        <w:t>глюкозиляції</w:t>
      </w:r>
      <w:proofErr w:type="spellEnd"/>
      <w:r w:rsidRPr="006F07FC">
        <w:rPr>
          <w:lang w:val="uk-UA"/>
        </w:rPr>
        <w:t xml:space="preserve">. Цей процес призводить до зниження </w:t>
      </w:r>
      <w:proofErr w:type="spellStart"/>
      <w:r w:rsidRPr="006F07FC">
        <w:rPr>
          <w:lang w:val="uk-UA"/>
        </w:rPr>
        <w:t>ендоневрального</w:t>
      </w:r>
      <w:proofErr w:type="spellEnd"/>
      <w:r w:rsidRPr="006F07FC">
        <w:rPr>
          <w:lang w:val="uk-UA"/>
        </w:rPr>
        <w:t xml:space="preserve"> кровотоку та </w:t>
      </w:r>
      <w:proofErr w:type="spellStart"/>
      <w:r w:rsidRPr="006F07FC">
        <w:rPr>
          <w:lang w:val="uk-UA"/>
        </w:rPr>
        <w:t>ендоневральної</w:t>
      </w:r>
      <w:proofErr w:type="spellEnd"/>
      <w:r w:rsidRPr="006F07FC">
        <w:rPr>
          <w:lang w:val="uk-UA"/>
        </w:rPr>
        <w:t xml:space="preserve"> гіпоксії та ішемії, що супроводжується підвищеним утворенням вільних кисневих радикалів, що, у свою чергу, пошкоджують периферичний нерв. Також у периферичних нервах спостерігається зниження рівня антиоксидантів (таких як </w:t>
      </w:r>
      <w:proofErr w:type="spellStart"/>
      <w:r w:rsidRPr="006F07FC">
        <w:rPr>
          <w:lang w:val="uk-UA"/>
        </w:rPr>
        <w:t>глутатіон</w:t>
      </w:r>
      <w:proofErr w:type="spellEnd"/>
      <w:r w:rsidRPr="006F07FC">
        <w:rPr>
          <w:lang w:val="uk-UA"/>
        </w:rPr>
        <w:t xml:space="preserve">).  </w:t>
      </w:r>
    </w:p>
    <w:p w14:paraId="29396352" w14:textId="77777777" w:rsidR="00AA4A67" w:rsidRPr="006F07FC" w:rsidRDefault="00AA4A67" w:rsidP="004B4805">
      <w:pPr>
        <w:jc w:val="both"/>
        <w:rPr>
          <w:lang w:val="uk-UA"/>
        </w:rPr>
      </w:pPr>
      <w:r w:rsidRPr="006F07FC">
        <w:rPr>
          <w:lang w:val="uk-UA"/>
        </w:rPr>
        <w:t>α-</w:t>
      </w:r>
      <w:proofErr w:type="spellStart"/>
      <w:r w:rsidRPr="006F07FC">
        <w:rPr>
          <w:lang w:val="uk-UA"/>
        </w:rPr>
        <w:t>ліпоєва</w:t>
      </w:r>
      <w:proofErr w:type="spellEnd"/>
      <w:r w:rsidRPr="006F07FC">
        <w:rPr>
          <w:lang w:val="uk-UA"/>
        </w:rPr>
        <w:t xml:space="preserve"> кислота втручалась у ці процеси, призводячи до зменшення утворення кінцевих продуктів </w:t>
      </w:r>
      <w:proofErr w:type="spellStart"/>
      <w:r w:rsidRPr="006F07FC">
        <w:rPr>
          <w:lang w:val="uk-UA"/>
        </w:rPr>
        <w:t>глюкозування</w:t>
      </w:r>
      <w:proofErr w:type="spellEnd"/>
      <w:r w:rsidRPr="006F07FC">
        <w:rPr>
          <w:lang w:val="uk-UA"/>
        </w:rPr>
        <w:t xml:space="preserve">, покращення </w:t>
      </w:r>
      <w:proofErr w:type="spellStart"/>
      <w:r w:rsidRPr="006F07FC">
        <w:rPr>
          <w:lang w:val="uk-UA"/>
        </w:rPr>
        <w:t>ендоневрального</w:t>
      </w:r>
      <w:proofErr w:type="spellEnd"/>
      <w:r w:rsidRPr="006F07FC">
        <w:rPr>
          <w:lang w:val="uk-UA"/>
        </w:rPr>
        <w:t xml:space="preserve"> кровотоку, підняття фізіологічного рівня антиоксидантів, таких як </w:t>
      </w:r>
      <w:proofErr w:type="spellStart"/>
      <w:r w:rsidRPr="006F07FC">
        <w:rPr>
          <w:lang w:val="uk-UA"/>
        </w:rPr>
        <w:t>глутатіон</w:t>
      </w:r>
      <w:proofErr w:type="spellEnd"/>
      <w:r w:rsidRPr="006F07FC">
        <w:rPr>
          <w:lang w:val="uk-UA"/>
        </w:rPr>
        <w:t>, що є антиоксидантом для вільних кисневих радикалів у діабетичному нерві.</w:t>
      </w:r>
    </w:p>
    <w:p w14:paraId="19A3FBC3" w14:textId="2C3EB103" w:rsidR="00AA4A67" w:rsidRPr="006F07FC" w:rsidRDefault="00AA4A67" w:rsidP="004B4805">
      <w:pPr>
        <w:jc w:val="both"/>
        <w:rPr>
          <w:lang w:val="uk-UA"/>
        </w:rPr>
      </w:pPr>
      <w:r w:rsidRPr="006F07FC">
        <w:rPr>
          <w:lang w:val="uk-UA"/>
        </w:rPr>
        <w:t>Ці ефекти, що спостерігалися в експерименті, підтримують теорію, що функціональність периферичних нервів може покращитися за допомогою α-</w:t>
      </w:r>
      <w:proofErr w:type="spellStart"/>
      <w:r w:rsidRPr="006F07FC">
        <w:rPr>
          <w:lang w:val="uk-UA"/>
        </w:rPr>
        <w:t>ліпоєвої</w:t>
      </w:r>
      <w:proofErr w:type="spellEnd"/>
      <w:r w:rsidRPr="006F07FC">
        <w:rPr>
          <w:lang w:val="uk-UA"/>
        </w:rPr>
        <w:t xml:space="preserve"> кислоти. Це стосується </w:t>
      </w:r>
      <w:r w:rsidR="005828A2">
        <w:rPr>
          <w:lang w:val="uk-UA"/>
        </w:rPr>
        <w:t xml:space="preserve"> </w:t>
      </w:r>
      <w:r w:rsidRPr="006F07FC">
        <w:rPr>
          <w:lang w:val="uk-UA"/>
        </w:rPr>
        <w:t xml:space="preserve">сенсорних порушень при діабетичній </w:t>
      </w:r>
      <w:proofErr w:type="spellStart"/>
      <w:r w:rsidRPr="006F07FC">
        <w:rPr>
          <w:lang w:val="uk-UA"/>
        </w:rPr>
        <w:t>полінейропатії</w:t>
      </w:r>
      <w:proofErr w:type="spellEnd"/>
      <w:r w:rsidRPr="006F07FC">
        <w:rPr>
          <w:lang w:val="uk-UA"/>
        </w:rPr>
        <w:t xml:space="preserve">, що проявляються </w:t>
      </w:r>
      <w:proofErr w:type="spellStart"/>
      <w:r w:rsidRPr="006F07FC">
        <w:rPr>
          <w:lang w:val="uk-UA"/>
        </w:rPr>
        <w:t>дізестезією</w:t>
      </w:r>
      <w:proofErr w:type="spellEnd"/>
      <w:r w:rsidRPr="006F07FC">
        <w:rPr>
          <w:lang w:val="uk-UA"/>
        </w:rPr>
        <w:t xml:space="preserve">, парестезіями, такими як </w:t>
      </w:r>
      <w:r w:rsidR="008F6271" w:rsidRPr="006F07FC">
        <w:rPr>
          <w:lang w:val="uk-UA"/>
        </w:rPr>
        <w:t>від</w:t>
      </w:r>
      <w:r w:rsidRPr="006F07FC">
        <w:rPr>
          <w:lang w:val="uk-UA"/>
        </w:rPr>
        <w:t>чуття печіння, болю, заніміння та «повзання мурашок».</w:t>
      </w:r>
    </w:p>
    <w:p w14:paraId="42FE1971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6F07FC">
        <w:rPr>
          <w:i/>
          <w:iCs/>
          <w:lang w:val="uk-UA"/>
        </w:rPr>
        <w:t>Фармакокінетика.</w:t>
      </w:r>
    </w:p>
    <w:p w14:paraId="2922E755" w14:textId="77777777" w:rsidR="00B07039" w:rsidRPr="006F07FC" w:rsidRDefault="00B07039" w:rsidP="00B07039">
      <w:pPr>
        <w:autoSpaceDE w:val="0"/>
        <w:autoSpaceDN w:val="0"/>
        <w:jc w:val="both"/>
        <w:rPr>
          <w:lang w:val="uk-UA" w:eastAsia="de-DE"/>
        </w:rPr>
      </w:pPr>
      <w:r w:rsidRPr="006F07FC">
        <w:rPr>
          <w:lang w:val="uk-UA" w:eastAsia="de-DE"/>
        </w:rPr>
        <w:t>Первинне перетворення α-</w:t>
      </w:r>
      <w:proofErr w:type="spellStart"/>
      <w:r w:rsidRPr="006F07FC">
        <w:rPr>
          <w:lang w:val="uk-UA" w:eastAsia="de-DE"/>
        </w:rPr>
        <w:t>ліпоєвої</w:t>
      </w:r>
      <w:proofErr w:type="spellEnd"/>
      <w:r w:rsidRPr="006F07FC">
        <w:rPr>
          <w:lang w:val="uk-UA" w:eastAsia="de-DE"/>
        </w:rPr>
        <w:t xml:space="preserve"> кислоти відбувається у печінці. Стосовно системної доступності α-</w:t>
      </w:r>
      <w:proofErr w:type="spellStart"/>
      <w:r w:rsidRPr="006F07FC">
        <w:rPr>
          <w:lang w:val="uk-UA" w:eastAsia="de-DE"/>
        </w:rPr>
        <w:t>ліпоєвої</w:t>
      </w:r>
      <w:proofErr w:type="spellEnd"/>
      <w:r w:rsidRPr="006F07FC">
        <w:rPr>
          <w:lang w:val="uk-UA" w:eastAsia="de-DE"/>
        </w:rPr>
        <w:t xml:space="preserve"> кислоти немає суттєвих розбіжностей у різних пацієнтів. α-</w:t>
      </w:r>
      <w:proofErr w:type="spellStart"/>
      <w:r w:rsidRPr="006F07FC">
        <w:rPr>
          <w:lang w:val="uk-UA" w:eastAsia="de-DE"/>
        </w:rPr>
        <w:t>ліпоєва</w:t>
      </w:r>
      <w:proofErr w:type="spellEnd"/>
      <w:r w:rsidRPr="006F07FC">
        <w:rPr>
          <w:lang w:val="uk-UA" w:eastAsia="de-DE"/>
        </w:rPr>
        <w:t xml:space="preserve"> кислота </w:t>
      </w:r>
      <w:proofErr w:type="spellStart"/>
      <w:r w:rsidRPr="006F07FC">
        <w:rPr>
          <w:lang w:val="uk-UA" w:eastAsia="de-DE"/>
        </w:rPr>
        <w:t>біотрансформується</w:t>
      </w:r>
      <w:proofErr w:type="spellEnd"/>
      <w:r w:rsidRPr="006F07FC">
        <w:rPr>
          <w:lang w:val="uk-UA" w:eastAsia="de-DE"/>
        </w:rPr>
        <w:t xml:space="preserve"> завдяки окисленню бокових ланцюгів та кон’югації, та виводиться переважно нирками.</w:t>
      </w:r>
    </w:p>
    <w:p w14:paraId="3B117535" w14:textId="77777777" w:rsidR="00B07039" w:rsidRPr="006F07FC" w:rsidRDefault="00B07039" w:rsidP="00B07039">
      <w:pPr>
        <w:autoSpaceDE w:val="0"/>
        <w:autoSpaceDN w:val="0"/>
        <w:jc w:val="both"/>
        <w:rPr>
          <w:lang w:val="uk-UA" w:eastAsia="de-DE"/>
        </w:rPr>
      </w:pPr>
      <w:r w:rsidRPr="006F07FC">
        <w:rPr>
          <w:lang w:val="uk-UA" w:eastAsia="de-DE"/>
        </w:rPr>
        <w:t xml:space="preserve">Період  </w:t>
      </w:r>
      <w:proofErr w:type="spellStart"/>
      <w:r w:rsidRPr="006F07FC">
        <w:rPr>
          <w:lang w:val="uk-UA" w:eastAsia="de-DE"/>
        </w:rPr>
        <w:t>напіввиведення</w:t>
      </w:r>
      <w:proofErr w:type="spellEnd"/>
      <w:r w:rsidRPr="006F07FC">
        <w:rPr>
          <w:lang w:val="uk-UA" w:eastAsia="de-DE"/>
        </w:rPr>
        <w:t xml:space="preserve">  α-</w:t>
      </w:r>
      <w:proofErr w:type="spellStart"/>
      <w:r w:rsidRPr="006F07FC">
        <w:rPr>
          <w:lang w:val="uk-UA" w:eastAsia="de-DE"/>
        </w:rPr>
        <w:t>ліпоєвої</w:t>
      </w:r>
      <w:proofErr w:type="spellEnd"/>
      <w:r w:rsidRPr="006F07FC">
        <w:rPr>
          <w:lang w:val="uk-UA" w:eastAsia="de-DE"/>
        </w:rPr>
        <w:t xml:space="preserve">  кислоти  з плазми  крові  у  людей  </w:t>
      </w:r>
      <w:r w:rsidR="00982DC7">
        <w:rPr>
          <w:lang w:val="uk-UA" w:eastAsia="de-DE"/>
        </w:rPr>
        <w:t>становить</w:t>
      </w:r>
      <w:r w:rsidRPr="006F07FC">
        <w:rPr>
          <w:lang w:val="uk-UA" w:eastAsia="de-DE"/>
        </w:rPr>
        <w:t xml:space="preserve">  близько  25 хвилин, а загальний кліренс плазми </w:t>
      </w:r>
      <w:r w:rsidR="00982DC7">
        <w:rPr>
          <w:lang w:val="uk-UA" w:eastAsia="de-DE"/>
        </w:rPr>
        <w:t>–</w:t>
      </w:r>
      <w:r w:rsidRPr="006F07FC">
        <w:rPr>
          <w:lang w:val="uk-UA" w:eastAsia="de-DE"/>
        </w:rPr>
        <w:t xml:space="preserve"> </w:t>
      </w:r>
      <w:r w:rsidR="00955BB9" w:rsidRPr="006F07FC">
        <w:rPr>
          <w:lang w:val="uk-UA" w:eastAsia="de-DE"/>
        </w:rPr>
        <w:t>9</w:t>
      </w:r>
      <w:r w:rsidR="00982DC7">
        <w:rPr>
          <w:lang w:val="uk-UA" w:eastAsia="de-DE"/>
        </w:rPr>
        <w:t>–</w:t>
      </w:r>
      <w:r w:rsidRPr="006F07FC">
        <w:rPr>
          <w:lang w:val="uk-UA" w:eastAsia="de-DE"/>
        </w:rPr>
        <w:t>1</w:t>
      </w:r>
      <w:r w:rsidR="00955BB9" w:rsidRPr="006F07FC">
        <w:rPr>
          <w:lang w:val="uk-UA" w:eastAsia="de-DE"/>
        </w:rPr>
        <w:t>3</w:t>
      </w:r>
      <w:r w:rsidR="00DA2512">
        <w:rPr>
          <w:lang w:val="uk-UA" w:eastAsia="de-DE"/>
        </w:rPr>
        <w:t xml:space="preserve"> мл/хв на кг. Напри</w:t>
      </w:r>
      <w:r w:rsidRPr="006F07FC">
        <w:rPr>
          <w:lang w:val="uk-UA" w:eastAsia="de-DE"/>
        </w:rPr>
        <w:t xml:space="preserve">кінці </w:t>
      </w:r>
      <w:proofErr w:type="spellStart"/>
      <w:r w:rsidRPr="006F07FC">
        <w:rPr>
          <w:lang w:val="uk-UA" w:eastAsia="de-DE"/>
        </w:rPr>
        <w:t>інфузії</w:t>
      </w:r>
      <w:proofErr w:type="spellEnd"/>
      <w:r w:rsidRPr="006F07FC">
        <w:rPr>
          <w:lang w:val="uk-UA" w:eastAsia="de-DE"/>
        </w:rPr>
        <w:t xml:space="preserve"> 600 мг протягом 12 хвилин концентрація у плазмі крові становить близько 47 </w:t>
      </w:r>
      <w:proofErr w:type="spellStart"/>
      <w:r w:rsidRPr="006F07FC">
        <w:rPr>
          <w:lang w:val="uk-UA" w:eastAsia="de-DE"/>
        </w:rPr>
        <w:t>мкг</w:t>
      </w:r>
      <w:proofErr w:type="spellEnd"/>
      <w:r w:rsidRPr="006F07FC">
        <w:rPr>
          <w:lang w:val="uk-UA" w:eastAsia="de-DE"/>
        </w:rPr>
        <w:t xml:space="preserve">/мл. У дослідах </w:t>
      </w:r>
      <w:r w:rsidRPr="006F07FC">
        <w:rPr>
          <w:lang w:val="uk-UA" w:eastAsia="de-DE"/>
        </w:rPr>
        <w:lastRenderedPageBreak/>
        <w:t>на тваринах (щури, собаки) радіоактивне позначення дозволило визначити переважно ниркове виведення у формі метаболітів у частці 80</w:t>
      </w:r>
      <w:r w:rsidR="00DA2512">
        <w:rPr>
          <w:lang w:val="uk-UA" w:eastAsia="de-DE"/>
        </w:rPr>
        <w:t>–</w:t>
      </w:r>
      <w:r w:rsidRPr="006F07FC">
        <w:rPr>
          <w:lang w:val="uk-UA" w:eastAsia="de-DE"/>
        </w:rPr>
        <w:t xml:space="preserve">90 %. У людей так само тільки невелика частина у вигляді інтактної речовини виявляється у сечі. </w:t>
      </w:r>
      <w:proofErr w:type="spellStart"/>
      <w:r w:rsidRPr="006F07FC">
        <w:rPr>
          <w:lang w:val="uk-UA" w:eastAsia="de-DE"/>
        </w:rPr>
        <w:t>Біотрансформація</w:t>
      </w:r>
      <w:proofErr w:type="spellEnd"/>
      <w:r w:rsidRPr="006F07FC">
        <w:rPr>
          <w:lang w:val="uk-UA" w:eastAsia="de-DE"/>
        </w:rPr>
        <w:t xml:space="preserve"> переважно відбувається у вигляді окислення бокових ланцюгів (бета-окислення) та/або S-</w:t>
      </w:r>
      <w:proofErr w:type="spellStart"/>
      <w:r w:rsidRPr="006F07FC">
        <w:rPr>
          <w:lang w:val="uk-UA" w:eastAsia="de-DE"/>
        </w:rPr>
        <w:t>метилюванням</w:t>
      </w:r>
      <w:proofErr w:type="spellEnd"/>
      <w:r w:rsidRPr="006F07FC">
        <w:rPr>
          <w:lang w:val="uk-UA" w:eastAsia="de-DE"/>
        </w:rPr>
        <w:t xml:space="preserve"> відповідних </w:t>
      </w:r>
      <w:proofErr w:type="spellStart"/>
      <w:r w:rsidRPr="006F07FC">
        <w:rPr>
          <w:lang w:val="uk-UA" w:eastAsia="de-DE"/>
        </w:rPr>
        <w:t>тіолових</w:t>
      </w:r>
      <w:proofErr w:type="spellEnd"/>
      <w:r w:rsidRPr="006F07FC">
        <w:rPr>
          <w:lang w:val="uk-UA" w:eastAsia="de-DE"/>
        </w:rPr>
        <w:t xml:space="preserve"> груп.  </w:t>
      </w:r>
    </w:p>
    <w:p w14:paraId="27CA371D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13B12A9B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6F07FC">
        <w:rPr>
          <w:b/>
          <w:bCs/>
          <w:lang w:val="uk-UA"/>
        </w:rPr>
        <w:t>Клінічні характеристики.</w:t>
      </w:r>
    </w:p>
    <w:p w14:paraId="0EBC3256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6F07FC">
        <w:rPr>
          <w:b/>
          <w:bCs/>
          <w:i/>
          <w:iCs/>
          <w:lang w:val="uk-UA"/>
        </w:rPr>
        <w:t>Показання.</w:t>
      </w:r>
    </w:p>
    <w:p w14:paraId="64E3BF4B" w14:textId="77777777" w:rsidR="00D21FE4" w:rsidRPr="006F07FC" w:rsidRDefault="00955BB9" w:rsidP="00955BB9">
      <w:pPr>
        <w:pStyle w:val="knZulassung02"/>
        <w:ind w:left="0"/>
        <w:jc w:val="both"/>
        <w:rPr>
          <w:rFonts w:ascii="Times New Roman" w:hAnsi="Times New Roman" w:cs="Times New Roman"/>
          <w:lang w:val="uk-UA" w:eastAsia="uk-UA"/>
        </w:rPr>
      </w:pPr>
      <w:r w:rsidRPr="006F07FC">
        <w:rPr>
          <w:rFonts w:ascii="Times New Roman" w:hAnsi="Times New Roman" w:cs="Times New Roman"/>
          <w:bCs/>
          <w:iCs/>
          <w:lang w:val="uk-UA" w:eastAsia="uk-UA"/>
        </w:rPr>
        <w:t>Лікування симптомів периферичної (</w:t>
      </w:r>
      <w:proofErr w:type="spellStart"/>
      <w:r w:rsidRPr="006F07FC">
        <w:rPr>
          <w:rFonts w:ascii="Times New Roman" w:hAnsi="Times New Roman" w:cs="Times New Roman"/>
          <w:bCs/>
          <w:iCs/>
          <w:lang w:val="uk-UA" w:eastAsia="uk-UA"/>
        </w:rPr>
        <w:t>сенсомоторної</w:t>
      </w:r>
      <w:proofErr w:type="spellEnd"/>
      <w:r w:rsidRPr="006F07FC">
        <w:rPr>
          <w:rFonts w:ascii="Times New Roman" w:hAnsi="Times New Roman" w:cs="Times New Roman"/>
          <w:bCs/>
          <w:iCs/>
          <w:lang w:val="uk-UA" w:eastAsia="uk-UA"/>
        </w:rPr>
        <w:t xml:space="preserve">) </w:t>
      </w:r>
      <w:r w:rsidRPr="006F07FC">
        <w:rPr>
          <w:rFonts w:ascii="Times New Roman" w:hAnsi="Times New Roman" w:cs="Times New Roman"/>
          <w:lang w:val="uk-UA" w:eastAsia="uk-UA"/>
        </w:rPr>
        <w:t xml:space="preserve">діабетичної </w:t>
      </w:r>
      <w:proofErr w:type="spellStart"/>
      <w:r w:rsidRPr="006F07FC">
        <w:rPr>
          <w:rFonts w:ascii="Times New Roman" w:hAnsi="Times New Roman" w:cs="Times New Roman"/>
          <w:lang w:val="uk-UA" w:eastAsia="uk-UA"/>
        </w:rPr>
        <w:t>полінейропатії</w:t>
      </w:r>
      <w:proofErr w:type="spellEnd"/>
      <w:r w:rsidRPr="006F07FC">
        <w:rPr>
          <w:rFonts w:ascii="Times New Roman" w:hAnsi="Times New Roman" w:cs="Times New Roman"/>
          <w:lang w:val="uk-UA" w:eastAsia="uk-UA"/>
        </w:rPr>
        <w:t>.</w:t>
      </w:r>
    </w:p>
    <w:p w14:paraId="102E86FA" w14:textId="77777777" w:rsidR="00955BB9" w:rsidRPr="006F07FC" w:rsidRDefault="00955BB9" w:rsidP="00955BB9">
      <w:pPr>
        <w:pStyle w:val="knZulassung02"/>
        <w:ind w:left="0"/>
        <w:jc w:val="both"/>
        <w:rPr>
          <w:lang w:val="uk-UA"/>
        </w:rPr>
      </w:pPr>
    </w:p>
    <w:p w14:paraId="63FCD96B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6F07FC">
        <w:rPr>
          <w:b/>
          <w:bCs/>
          <w:i/>
          <w:iCs/>
          <w:lang w:val="uk-UA"/>
        </w:rPr>
        <w:t>Протипоказання.</w:t>
      </w:r>
    </w:p>
    <w:p w14:paraId="762DCB57" w14:textId="77777777" w:rsidR="00955BB9" w:rsidRPr="006F07FC" w:rsidRDefault="00955BB9" w:rsidP="00955B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lang w:val="uk-UA" w:eastAsia="uk-UA"/>
        </w:rPr>
      </w:pPr>
      <w:proofErr w:type="spellStart"/>
      <w:r w:rsidRPr="006F07FC">
        <w:rPr>
          <w:lang w:val="uk-UA"/>
        </w:rPr>
        <w:t>Тіоктон</w:t>
      </w:r>
      <w:proofErr w:type="spellEnd"/>
      <w:r w:rsidRPr="006F07FC">
        <w:rPr>
          <w:lang w:val="uk-UA"/>
        </w:rPr>
        <w:t xml:space="preserve"> </w:t>
      </w:r>
      <w:r w:rsidRPr="006F07FC">
        <w:rPr>
          <w:bCs/>
          <w:iCs/>
          <w:lang w:val="uk-UA" w:eastAsia="uk-UA"/>
        </w:rPr>
        <w:t xml:space="preserve">абсолютно протипоказаний хворим з відомою </w:t>
      </w:r>
      <w:proofErr w:type="spellStart"/>
      <w:r w:rsidRPr="006F07FC">
        <w:rPr>
          <w:bCs/>
          <w:iCs/>
          <w:lang w:val="uk-UA" w:eastAsia="uk-UA"/>
        </w:rPr>
        <w:t>гіперчутливістю</w:t>
      </w:r>
      <w:proofErr w:type="spellEnd"/>
      <w:r w:rsidRPr="006F07FC">
        <w:rPr>
          <w:bCs/>
          <w:iCs/>
          <w:lang w:val="uk-UA" w:eastAsia="uk-UA"/>
        </w:rPr>
        <w:t xml:space="preserve"> до </w:t>
      </w:r>
      <w:proofErr w:type="spellStart"/>
      <w:r w:rsidRPr="006F07FC">
        <w:rPr>
          <w:bCs/>
          <w:iCs/>
          <w:lang w:val="uk-UA" w:eastAsia="uk-UA"/>
        </w:rPr>
        <w:t>тіоктової</w:t>
      </w:r>
      <w:proofErr w:type="spellEnd"/>
      <w:r w:rsidRPr="006F07FC">
        <w:rPr>
          <w:bCs/>
          <w:iCs/>
          <w:lang w:val="uk-UA" w:eastAsia="uk-UA"/>
        </w:rPr>
        <w:t xml:space="preserve"> кислоти або до інших складових лікарського засобу.</w:t>
      </w:r>
    </w:p>
    <w:p w14:paraId="55DEB0E8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B358820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6F07FC">
        <w:rPr>
          <w:b/>
          <w:bCs/>
          <w:i/>
          <w:iCs/>
          <w:lang w:val="uk-UA"/>
        </w:rPr>
        <w:t>Взаємодія з іншими лікарськими засобами та інші види взаємодій.</w:t>
      </w:r>
    </w:p>
    <w:p w14:paraId="2FB41748" w14:textId="77777777" w:rsidR="002E2E5C" w:rsidRPr="006F07FC" w:rsidRDefault="002E2E5C" w:rsidP="002E2E5C">
      <w:pPr>
        <w:autoSpaceDE w:val="0"/>
        <w:autoSpaceDN w:val="0"/>
        <w:jc w:val="both"/>
        <w:rPr>
          <w:lang w:val="uk-UA" w:eastAsia="de-DE"/>
        </w:rPr>
      </w:pPr>
      <w:r w:rsidRPr="006F07FC">
        <w:rPr>
          <w:lang w:val="uk-UA" w:eastAsia="de-DE"/>
        </w:rPr>
        <w:t xml:space="preserve">При одночасному лікуванні </w:t>
      </w:r>
      <w:proofErr w:type="spellStart"/>
      <w:r w:rsidRPr="006F07FC">
        <w:rPr>
          <w:lang w:val="uk-UA"/>
        </w:rPr>
        <w:t>Тіоктоном</w:t>
      </w:r>
      <w:proofErr w:type="spellEnd"/>
      <w:r w:rsidRPr="006F07FC">
        <w:rPr>
          <w:lang w:val="uk-UA" w:eastAsia="de-DE"/>
        </w:rPr>
        <w:t xml:space="preserve"> і </w:t>
      </w:r>
      <w:proofErr w:type="spellStart"/>
      <w:r w:rsidRPr="006F07FC">
        <w:rPr>
          <w:lang w:val="uk-UA" w:eastAsia="de-DE"/>
        </w:rPr>
        <w:t>Цисплатином</w:t>
      </w:r>
      <w:proofErr w:type="spellEnd"/>
      <w:r w:rsidRPr="006F07FC">
        <w:rPr>
          <w:lang w:val="uk-UA" w:eastAsia="de-DE"/>
        </w:rPr>
        <w:t xml:space="preserve"> ефективність останнього знижується.</w:t>
      </w:r>
    </w:p>
    <w:p w14:paraId="2AEDEEF6" w14:textId="77777777" w:rsidR="002E2E5C" w:rsidRPr="006F07FC" w:rsidRDefault="002E2E5C" w:rsidP="002E2E5C">
      <w:pPr>
        <w:autoSpaceDE w:val="0"/>
        <w:autoSpaceDN w:val="0"/>
        <w:jc w:val="both"/>
        <w:rPr>
          <w:lang w:val="uk-UA" w:eastAsia="de-DE"/>
        </w:rPr>
      </w:pPr>
      <w:r w:rsidRPr="006F07FC">
        <w:rPr>
          <w:lang w:val="uk-UA" w:eastAsia="de-DE"/>
        </w:rPr>
        <w:t xml:space="preserve">При одночасному лікуванні </w:t>
      </w:r>
      <w:r w:rsidR="00033C73" w:rsidRPr="006F07FC">
        <w:rPr>
          <w:lang w:val="uk-UA" w:eastAsia="de-DE"/>
        </w:rPr>
        <w:t xml:space="preserve">з </w:t>
      </w:r>
      <w:proofErr w:type="spellStart"/>
      <w:r w:rsidRPr="006F07FC">
        <w:rPr>
          <w:lang w:val="uk-UA"/>
        </w:rPr>
        <w:t>Тіоктон</w:t>
      </w:r>
      <w:r w:rsidR="00033C73" w:rsidRPr="006F07FC">
        <w:rPr>
          <w:lang w:val="uk-UA"/>
        </w:rPr>
        <w:t>ом</w:t>
      </w:r>
      <w:proofErr w:type="spellEnd"/>
      <w:r w:rsidRPr="006F07FC">
        <w:rPr>
          <w:lang w:val="uk-UA" w:eastAsia="de-DE"/>
        </w:rPr>
        <w:t xml:space="preserve"> може посилюватися цукрознижувальний ефект інсуліну та/або інших </w:t>
      </w:r>
      <w:proofErr w:type="spellStart"/>
      <w:r w:rsidRPr="006F07FC">
        <w:rPr>
          <w:lang w:val="uk-UA" w:eastAsia="de-DE"/>
        </w:rPr>
        <w:t>протидіабетичних</w:t>
      </w:r>
      <w:proofErr w:type="spellEnd"/>
      <w:r w:rsidRPr="006F07FC">
        <w:rPr>
          <w:lang w:val="uk-UA" w:eastAsia="de-DE"/>
        </w:rPr>
        <w:t xml:space="preserve"> засобів. У зв’язку з цим, особливо на початку лікування </w:t>
      </w:r>
      <w:proofErr w:type="spellStart"/>
      <w:r w:rsidRPr="006F07FC">
        <w:rPr>
          <w:lang w:val="uk-UA" w:eastAsia="de-DE"/>
        </w:rPr>
        <w:t>тіоктовою</w:t>
      </w:r>
      <w:proofErr w:type="spellEnd"/>
      <w:r w:rsidRPr="006F07FC">
        <w:rPr>
          <w:lang w:val="uk-UA" w:eastAsia="de-DE"/>
        </w:rPr>
        <w:t xml:space="preserve"> кислотою, показаний регулярний контроль рівня цукру в крові. Для запобігання появи симптомів гіпоглікемії в окремих випадках може виникнути потреба у зниженні дози інсуліну та/або орального </w:t>
      </w:r>
      <w:proofErr w:type="spellStart"/>
      <w:r w:rsidRPr="006F07FC">
        <w:rPr>
          <w:lang w:val="uk-UA" w:eastAsia="de-DE"/>
        </w:rPr>
        <w:t>протидіабетичного</w:t>
      </w:r>
      <w:proofErr w:type="spellEnd"/>
      <w:r w:rsidRPr="006F07FC">
        <w:rPr>
          <w:lang w:val="uk-UA" w:eastAsia="de-DE"/>
        </w:rPr>
        <w:t xml:space="preserve"> засобу. </w:t>
      </w:r>
    </w:p>
    <w:p w14:paraId="04F529FD" w14:textId="77777777" w:rsidR="002E2E5C" w:rsidRPr="006F07FC" w:rsidRDefault="002E2E5C" w:rsidP="002E2E5C">
      <w:pPr>
        <w:autoSpaceDE w:val="0"/>
        <w:autoSpaceDN w:val="0"/>
        <w:jc w:val="both"/>
        <w:rPr>
          <w:u w:val="single"/>
          <w:lang w:val="uk-UA" w:eastAsia="de-DE"/>
        </w:rPr>
      </w:pPr>
      <w:r w:rsidRPr="006F07FC">
        <w:rPr>
          <w:u w:val="single"/>
          <w:lang w:val="uk-UA" w:eastAsia="de-DE"/>
        </w:rPr>
        <w:t>Увага</w:t>
      </w:r>
    </w:p>
    <w:p w14:paraId="4C58817D" w14:textId="77777777" w:rsidR="002E2E5C" w:rsidRPr="006F07FC" w:rsidRDefault="002E2E5C" w:rsidP="002E2E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 w:rsidRPr="006F07FC">
        <w:rPr>
          <w:lang w:val="uk-UA" w:eastAsia="uk-UA"/>
        </w:rPr>
        <w:t xml:space="preserve">Регулярне вживання алкоголю є суттєвим фактором ризику для розвитку і прогресування клінічної картини </w:t>
      </w:r>
      <w:proofErr w:type="spellStart"/>
      <w:r w:rsidRPr="006F07FC">
        <w:rPr>
          <w:lang w:val="uk-UA" w:eastAsia="uk-UA"/>
        </w:rPr>
        <w:t>нейропатії</w:t>
      </w:r>
      <w:proofErr w:type="spellEnd"/>
      <w:r w:rsidRPr="006F07FC">
        <w:rPr>
          <w:lang w:val="uk-UA" w:eastAsia="uk-UA"/>
        </w:rPr>
        <w:t xml:space="preserve">, і може таким чином негативно впливати на процес лікування </w:t>
      </w:r>
      <w:proofErr w:type="spellStart"/>
      <w:r w:rsidR="00033C73" w:rsidRPr="006F07FC">
        <w:rPr>
          <w:lang w:val="uk-UA"/>
        </w:rPr>
        <w:t>Тіоктон</w:t>
      </w:r>
      <w:r w:rsidR="00A85FAC" w:rsidRPr="006F07FC">
        <w:rPr>
          <w:lang w:val="uk-UA"/>
        </w:rPr>
        <w:t>ом</w:t>
      </w:r>
      <w:proofErr w:type="spellEnd"/>
      <w:r w:rsidRPr="006F07FC">
        <w:rPr>
          <w:lang w:val="uk-UA" w:eastAsia="uk-UA"/>
        </w:rPr>
        <w:t xml:space="preserve">. Тому пацієнтам з діабетичною </w:t>
      </w:r>
      <w:proofErr w:type="spellStart"/>
      <w:r w:rsidRPr="006F07FC">
        <w:rPr>
          <w:lang w:val="uk-UA" w:eastAsia="uk-UA"/>
        </w:rPr>
        <w:t>полінейропатією</w:t>
      </w:r>
      <w:proofErr w:type="spellEnd"/>
      <w:r w:rsidRPr="006F07FC">
        <w:rPr>
          <w:lang w:val="uk-UA" w:eastAsia="uk-UA"/>
        </w:rPr>
        <w:t xml:space="preserve"> зазвичай рекомендується у разі можливості утримуватися від споживання алкоголю. Обмеження стосується також перерв між курсами лікування.</w:t>
      </w:r>
    </w:p>
    <w:p w14:paraId="7A6C632F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B260CEB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6F07FC">
        <w:rPr>
          <w:b/>
          <w:bCs/>
          <w:i/>
          <w:iCs/>
          <w:lang w:val="uk-UA"/>
        </w:rPr>
        <w:t>Особливості застосування.</w:t>
      </w:r>
    </w:p>
    <w:p w14:paraId="6DCA5D2C" w14:textId="77777777" w:rsidR="00A85FAC" w:rsidRPr="006F07FC" w:rsidRDefault="00A85FAC" w:rsidP="00A85F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 w:rsidRPr="006F07FC">
        <w:rPr>
          <w:lang w:val="uk-UA" w:eastAsia="uk-UA"/>
        </w:rPr>
        <w:t xml:space="preserve">При парентеральному введенні </w:t>
      </w:r>
      <w:proofErr w:type="spellStart"/>
      <w:r w:rsidRPr="006F07FC">
        <w:rPr>
          <w:lang w:val="uk-UA"/>
        </w:rPr>
        <w:t>Тіоктону</w:t>
      </w:r>
      <w:proofErr w:type="spellEnd"/>
      <w:r w:rsidRPr="006F07FC">
        <w:rPr>
          <w:lang w:val="uk-UA"/>
        </w:rPr>
        <w:t xml:space="preserve"> </w:t>
      </w:r>
      <w:r w:rsidRPr="006F07FC">
        <w:rPr>
          <w:lang w:val="uk-UA" w:eastAsia="uk-UA"/>
        </w:rPr>
        <w:t xml:space="preserve">спостерігалися реакції </w:t>
      </w:r>
      <w:proofErr w:type="spellStart"/>
      <w:r w:rsidRPr="006F07FC">
        <w:rPr>
          <w:lang w:val="uk-UA" w:eastAsia="uk-UA"/>
        </w:rPr>
        <w:t>гіперчутливості</w:t>
      </w:r>
      <w:proofErr w:type="spellEnd"/>
      <w:r w:rsidRPr="006F07FC">
        <w:rPr>
          <w:lang w:val="uk-UA" w:eastAsia="uk-UA"/>
        </w:rPr>
        <w:t xml:space="preserve"> різного ступеня важкості,</w:t>
      </w:r>
      <w:r w:rsidR="00481E2E">
        <w:rPr>
          <w:lang w:val="uk-UA" w:eastAsia="uk-UA"/>
        </w:rPr>
        <w:t xml:space="preserve"> аж </w:t>
      </w:r>
      <w:r w:rsidRPr="006F07FC">
        <w:rPr>
          <w:lang w:val="uk-UA" w:eastAsia="uk-UA"/>
        </w:rPr>
        <w:t xml:space="preserve">до анафілактичного шоку (див. розділ «Побічні реакції»). Таким чином, під час лікування препаратом пацієнти повинні знаходитися під пильним наглядом лікаря. У </w:t>
      </w:r>
      <w:r w:rsidR="00096910">
        <w:rPr>
          <w:lang w:val="uk-UA" w:eastAsia="uk-UA"/>
        </w:rPr>
        <w:t>разі появи перших ознак (таких</w:t>
      </w:r>
      <w:r w:rsidRPr="006F07FC">
        <w:rPr>
          <w:lang w:val="uk-UA" w:eastAsia="uk-UA"/>
        </w:rPr>
        <w:t xml:space="preserve"> як с</w:t>
      </w:r>
      <w:r w:rsidR="00096910">
        <w:rPr>
          <w:lang w:val="uk-UA" w:eastAsia="uk-UA"/>
        </w:rPr>
        <w:t>вербіж, нудота, слабкість</w:t>
      </w:r>
      <w:r w:rsidRPr="006F07FC">
        <w:rPr>
          <w:lang w:val="uk-UA" w:eastAsia="uk-UA"/>
        </w:rPr>
        <w:t>), слід негайно припинити лікування і у разі необхідності надати відповідну допомогу.</w:t>
      </w:r>
    </w:p>
    <w:p w14:paraId="07655DF8" w14:textId="77777777" w:rsidR="00A85FAC" w:rsidRPr="006F07FC" w:rsidRDefault="00A85FAC" w:rsidP="00A85F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 w:rsidRPr="006F07FC">
        <w:rPr>
          <w:lang w:val="uk-UA" w:eastAsia="uk-UA"/>
        </w:rPr>
        <w:t xml:space="preserve">Після застосування </w:t>
      </w:r>
      <w:proofErr w:type="spellStart"/>
      <w:r w:rsidRPr="006F07FC">
        <w:rPr>
          <w:lang w:val="uk-UA"/>
        </w:rPr>
        <w:t>Тіоктону</w:t>
      </w:r>
      <w:proofErr w:type="spellEnd"/>
      <w:r w:rsidRPr="006F07FC">
        <w:rPr>
          <w:lang w:val="uk-UA"/>
        </w:rPr>
        <w:t xml:space="preserve"> </w:t>
      </w:r>
      <w:r w:rsidRPr="006F07FC">
        <w:rPr>
          <w:lang w:val="uk-UA" w:eastAsia="uk-UA"/>
        </w:rPr>
        <w:t>може спостерігатися незвичний запах сечі, це явище несуттєве з клінічного погляду.</w:t>
      </w:r>
    </w:p>
    <w:p w14:paraId="56D2A5AB" w14:textId="77777777" w:rsidR="00A85FAC" w:rsidRPr="006F07FC" w:rsidRDefault="00A85FAC" w:rsidP="00A85F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 w:rsidRPr="006F07FC">
        <w:rPr>
          <w:lang w:val="uk-UA" w:eastAsia="uk-UA"/>
        </w:rPr>
        <w:t>Повідомлял</w:t>
      </w:r>
      <w:r w:rsidR="00096910">
        <w:rPr>
          <w:lang w:val="uk-UA" w:eastAsia="uk-UA"/>
        </w:rPr>
        <w:t xml:space="preserve">и </w:t>
      </w:r>
      <w:r w:rsidRPr="006F07FC">
        <w:rPr>
          <w:lang w:val="uk-UA" w:eastAsia="uk-UA"/>
        </w:rPr>
        <w:t xml:space="preserve">про випадки Інсулін </w:t>
      </w:r>
      <w:proofErr w:type="spellStart"/>
      <w:r w:rsidRPr="006F07FC">
        <w:rPr>
          <w:lang w:val="uk-UA" w:eastAsia="uk-UA"/>
        </w:rPr>
        <w:t>Аутоімунного</w:t>
      </w:r>
      <w:proofErr w:type="spellEnd"/>
      <w:r w:rsidRPr="006F07FC">
        <w:rPr>
          <w:lang w:val="uk-UA" w:eastAsia="uk-UA"/>
        </w:rPr>
        <w:t xml:space="preserve"> Синдрому (IAС) під час лікування </w:t>
      </w:r>
      <w:proofErr w:type="spellStart"/>
      <w:r w:rsidRPr="006F07FC">
        <w:rPr>
          <w:lang w:val="uk-UA" w:eastAsia="uk-UA"/>
        </w:rPr>
        <w:t>тіоктовою</w:t>
      </w:r>
      <w:proofErr w:type="spellEnd"/>
      <w:r w:rsidRPr="006F07FC">
        <w:rPr>
          <w:lang w:val="uk-UA" w:eastAsia="uk-UA"/>
        </w:rPr>
        <w:t xml:space="preserve"> кислотою. </w:t>
      </w:r>
      <w:r w:rsidR="00096910">
        <w:rPr>
          <w:lang w:val="uk-UA" w:eastAsia="uk-UA"/>
        </w:rPr>
        <w:t>Пацієнти</w:t>
      </w:r>
      <w:r w:rsidRPr="006F07FC">
        <w:rPr>
          <w:lang w:val="uk-UA" w:eastAsia="uk-UA"/>
        </w:rPr>
        <w:t xml:space="preserve"> з генотипом лейкоцитарного антигену людини, такими як HLA-DRB1*04:06 і HLA-DRB1*04:03 алелями, більш чутливі до виникнення IAС при лікуванні </w:t>
      </w:r>
      <w:proofErr w:type="spellStart"/>
      <w:r w:rsidRPr="006F07FC">
        <w:rPr>
          <w:lang w:val="uk-UA" w:eastAsia="uk-UA"/>
        </w:rPr>
        <w:t>тіоктовою</w:t>
      </w:r>
      <w:proofErr w:type="spellEnd"/>
      <w:r w:rsidRPr="006F07FC">
        <w:rPr>
          <w:lang w:val="uk-UA" w:eastAsia="uk-UA"/>
        </w:rPr>
        <w:t xml:space="preserve"> кислотою. HLA-DRB1*04:03 алель (чутливість до виникнення ІАС: 1.6) ос</w:t>
      </w:r>
      <w:r w:rsidR="00096910">
        <w:rPr>
          <w:lang w:val="uk-UA" w:eastAsia="uk-UA"/>
        </w:rPr>
        <w:t>обливо відзначалися у кавказців</w:t>
      </w:r>
      <w:r w:rsidRPr="006F07FC">
        <w:rPr>
          <w:lang w:val="uk-UA" w:eastAsia="uk-UA"/>
        </w:rPr>
        <w:t xml:space="preserve"> з більш високою поширеністю на півдні, ніж на півночі Європи і HLA-DRB1*04:06 алель (чутливість до виникнення ІАС: 56,6) особливо відзначалися у японських і корейських пацієнтів.</w:t>
      </w:r>
      <w:r w:rsidR="0062684F">
        <w:rPr>
          <w:lang w:val="uk-UA" w:eastAsia="uk-UA"/>
        </w:rPr>
        <w:t xml:space="preserve"> </w:t>
      </w:r>
      <w:r w:rsidRPr="006F07FC">
        <w:rPr>
          <w:lang w:val="uk-UA" w:eastAsia="uk-UA"/>
        </w:rPr>
        <w:t xml:space="preserve">Інсулін </w:t>
      </w:r>
      <w:proofErr w:type="spellStart"/>
      <w:r w:rsidRPr="006F07FC">
        <w:rPr>
          <w:lang w:val="uk-UA" w:eastAsia="uk-UA"/>
        </w:rPr>
        <w:t>Аутоімунний</w:t>
      </w:r>
      <w:proofErr w:type="spellEnd"/>
      <w:r w:rsidRPr="006F07FC">
        <w:rPr>
          <w:lang w:val="uk-UA" w:eastAsia="uk-UA"/>
        </w:rPr>
        <w:t xml:space="preserve"> Синдром слід розглядати </w:t>
      </w:r>
      <w:r w:rsidR="004366EC">
        <w:rPr>
          <w:lang w:val="uk-UA" w:eastAsia="uk-UA"/>
        </w:rPr>
        <w:t>у</w:t>
      </w:r>
      <w:r w:rsidRPr="006F07FC">
        <w:rPr>
          <w:lang w:val="uk-UA" w:eastAsia="uk-UA"/>
        </w:rPr>
        <w:t xml:space="preserve"> диференціальній діагностиці спонтанної гіпоглікемії у пацієнтів під час лікування </w:t>
      </w:r>
      <w:proofErr w:type="spellStart"/>
      <w:r w:rsidRPr="006F07FC">
        <w:rPr>
          <w:lang w:val="uk-UA" w:eastAsia="uk-UA"/>
        </w:rPr>
        <w:t>тіоктовою</w:t>
      </w:r>
      <w:proofErr w:type="spellEnd"/>
      <w:r w:rsidRPr="006F07FC">
        <w:rPr>
          <w:lang w:val="uk-UA" w:eastAsia="uk-UA"/>
        </w:rPr>
        <w:t xml:space="preserve"> кислотою (див. розділ «Побічні реакції»).</w:t>
      </w:r>
    </w:p>
    <w:p w14:paraId="6A2A8243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7BD428D1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6F07FC">
        <w:rPr>
          <w:i/>
          <w:iCs/>
          <w:lang w:val="uk-UA"/>
        </w:rPr>
        <w:t>Застосування у період вагітності або годування груддю.</w:t>
      </w:r>
    </w:p>
    <w:p w14:paraId="152ECA05" w14:textId="77777777" w:rsidR="002B34E1" w:rsidRPr="006F07FC" w:rsidRDefault="002B34E1" w:rsidP="002B34E1">
      <w:pPr>
        <w:widowControl w:val="0"/>
        <w:autoSpaceDE w:val="0"/>
        <w:autoSpaceDN w:val="0"/>
        <w:adjustRightInd w:val="0"/>
        <w:jc w:val="both"/>
        <w:rPr>
          <w:bCs/>
          <w:lang w:val="uk-UA" w:eastAsia="uk-UA"/>
        </w:rPr>
      </w:pPr>
      <w:r w:rsidRPr="006F07FC">
        <w:rPr>
          <w:bCs/>
          <w:lang w:val="uk-UA" w:eastAsia="uk-UA"/>
        </w:rPr>
        <w:t xml:space="preserve">Застосування </w:t>
      </w:r>
      <w:proofErr w:type="spellStart"/>
      <w:r w:rsidRPr="006F07FC">
        <w:rPr>
          <w:bCs/>
          <w:lang w:val="uk-UA" w:eastAsia="uk-UA"/>
        </w:rPr>
        <w:t>тіоктової</w:t>
      </w:r>
      <w:proofErr w:type="spellEnd"/>
      <w:r w:rsidRPr="006F07FC">
        <w:rPr>
          <w:bCs/>
          <w:lang w:val="uk-UA" w:eastAsia="uk-UA"/>
        </w:rPr>
        <w:t xml:space="preserve"> кислоти </w:t>
      </w:r>
      <w:r w:rsidR="00C7708A">
        <w:rPr>
          <w:bCs/>
          <w:lang w:val="uk-UA" w:eastAsia="uk-UA"/>
        </w:rPr>
        <w:t>у період</w:t>
      </w:r>
      <w:r w:rsidRPr="006F07FC">
        <w:rPr>
          <w:bCs/>
          <w:lang w:val="uk-UA" w:eastAsia="uk-UA"/>
        </w:rPr>
        <w:t xml:space="preserve"> вагітності не рекомендується через відсутність відповідних клінічних даних. </w:t>
      </w:r>
    </w:p>
    <w:p w14:paraId="3F08F177" w14:textId="77777777" w:rsidR="002B34E1" w:rsidRPr="006F07FC" w:rsidRDefault="002B34E1" w:rsidP="002B34E1">
      <w:pPr>
        <w:widowControl w:val="0"/>
        <w:autoSpaceDE w:val="0"/>
        <w:autoSpaceDN w:val="0"/>
        <w:adjustRightInd w:val="0"/>
        <w:jc w:val="both"/>
        <w:rPr>
          <w:bCs/>
          <w:lang w:val="uk-UA" w:eastAsia="uk-UA"/>
        </w:rPr>
      </w:pPr>
      <w:r w:rsidRPr="006F07FC">
        <w:rPr>
          <w:bCs/>
          <w:lang w:val="uk-UA" w:eastAsia="uk-UA"/>
        </w:rPr>
        <w:t xml:space="preserve">Даних про проникнення </w:t>
      </w:r>
      <w:proofErr w:type="spellStart"/>
      <w:r w:rsidRPr="006F07FC">
        <w:rPr>
          <w:bCs/>
          <w:lang w:val="uk-UA" w:eastAsia="uk-UA"/>
        </w:rPr>
        <w:t>тіоктової</w:t>
      </w:r>
      <w:proofErr w:type="spellEnd"/>
      <w:r w:rsidRPr="006F07FC">
        <w:rPr>
          <w:bCs/>
          <w:lang w:val="uk-UA" w:eastAsia="uk-UA"/>
        </w:rPr>
        <w:t xml:space="preserve"> кислоти у грудне молоко немає, тому застосовувати її у період годування груддю не рекомендується.</w:t>
      </w:r>
    </w:p>
    <w:p w14:paraId="55243F4A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6F07FC">
        <w:rPr>
          <w:i/>
          <w:iCs/>
          <w:lang w:val="uk-UA"/>
        </w:rPr>
        <w:lastRenderedPageBreak/>
        <w:t>Здатність впливати на швидкість реакції при керуванні автотранспортом або іншими механізмами.</w:t>
      </w:r>
    </w:p>
    <w:p w14:paraId="6A9CEAA6" w14:textId="77777777" w:rsidR="0009363C" w:rsidRPr="006F07FC" w:rsidRDefault="0009363C" w:rsidP="000936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lang w:val="uk-UA" w:eastAsia="uk-UA"/>
        </w:rPr>
      </w:pPr>
      <w:proofErr w:type="spellStart"/>
      <w:r w:rsidRPr="006F07FC">
        <w:rPr>
          <w:lang w:val="uk-UA"/>
        </w:rPr>
        <w:t>Тіоктон</w:t>
      </w:r>
      <w:proofErr w:type="spellEnd"/>
      <w:r w:rsidRPr="006F07FC">
        <w:rPr>
          <w:lang w:val="uk-UA"/>
        </w:rPr>
        <w:t xml:space="preserve"> </w:t>
      </w:r>
      <w:r w:rsidRPr="006F07FC">
        <w:rPr>
          <w:spacing w:val="-1"/>
          <w:lang w:val="uk-UA" w:eastAsia="uk-UA"/>
        </w:rPr>
        <w:t>не має ніякого впливу або має незначний вплив на швидкість реакції при керуванні автотранспортом або роботі з іншими механізмами.</w:t>
      </w:r>
    </w:p>
    <w:p w14:paraId="20E2CA4F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3777F0AC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6F07FC">
        <w:rPr>
          <w:b/>
          <w:bCs/>
          <w:i/>
          <w:iCs/>
          <w:lang w:val="uk-UA"/>
        </w:rPr>
        <w:t>Спосіб застосування та дози.</w:t>
      </w:r>
    </w:p>
    <w:p w14:paraId="0F58C443" w14:textId="77777777" w:rsidR="0009363C" w:rsidRPr="006F07FC" w:rsidRDefault="0009363C" w:rsidP="000936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 w:rsidRPr="006F07FC">
        <w:rPr>
          <w:bCs/>
          <w:iCs/>
          <w:spacing w:val="-1"/>
          <w:lang w:val="uk-UA" w:eastAsia="uk-UA"/>
        </w:rPr>
        <w:t xml:space="preserve">Основою лікування діабетичної </w:t>
      </w:r>
      <w:proofErr w:type="spellStart"/>
      <w:r w:rsidRPr="006F07FC">
        <w:rPr>
          <w:bCs/>
          <w:iCs/>
          <w:spacing w:val="-1"/>
          <w:lang w:val="uk-UA" w:eastAsia="uk-UA"/>
        </w:rPr>
        <w:t>полінейропатії</w:t>
      </w:r>
      <w:proofErr w:type="spellEnd"/>
      <w:r w:rsidRPr="006F07FC">
        <w:rPr>
          <w:bCs/>
          <w:iCs/>
          <w:spacing w:val="-1"/>
          <w:lang w:val="uk-UA" w:eastAsia="uk-UA"/>
        </w:rPr>
        <w:t xml:space="preserve"> є оптимальний діабетичний контроль.</w:t>
      </w:r>
    </w:p>
    <w:p w14:paraId="5B6E06A5" w14:textId="77777777" w:rsidR="0009363C" w:rsidRPr="006F07FC" w:rsidRDefault="0009363C" w:rsidP="000936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 w:rsidRPr="006F07FC">
        <w:rPr>
          <w:spacing w:val="-1"/>
          <w:lang w:val="uk-UA" w:eastAsia="uk-UA"/>
        </w:rPr>
        <w:t>Дози і тривалість лікування встановлю</w:t>
      </w:r>
      <w:r w:rsidR="00C7708A">
        <w:rPr>
          <w:spacing w:val="-1"/>
          <w:lang w:val="uk-UA" w:eastAsia="uk-UA"/>
        </w:rPr>
        <w:t xml:space="preserve">є лікар </w:t>
      </w:r>
      <w:r w:rsidRPr="006F07FC">
        <w:rPr>
          <w:spacing w:val="-1"/>
          <w:lang w:val="uk-UA" w:eastAsia="uk-UA"/>
        </w:rPr>
        <w:t>індивідуально.</w:t>
      </w:r>
    </w:p>
    <w:p w14:paraId="2701CCA6" w14:textId="77777777" w:rsidR="0009363C" w:rsidRPr="006F07FC" w:rsidRDefault="0009363C" w:rsidP="000936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 w:rsidRPr="006F07FC">
        <w:rPr>
          <w:lang w:val="uk-UA" w:eastAsia="uk-UA"/>
        </w:rPr>
        <w:t xml:space="preserve">При наявності симптомів </w:t>
      </w:r>
      <w:r w:rsidRPr="006F07FC">
        <w:rPr>
          <w:bCs/>
          <w:iCs/>
          <w:lang w:val="uk-UA" w:eastAsia="uk-UA"/>
        </w:rPr>
        <w:t>периферичної (</w:t>
      </w:r>
      <w:proofErr w:type="spellStart"/>
      <w:r w:rsidRPr="006F07FC">
        <w:rPr>
          <w:bCs/>
          <w:iCs/>
          <w:lang w:val="uk-UA" w:eastAsia="uk-UA"/>
        </w:rPr>
        <w:t>сенсомоторної</w:t>
      </w:r>
      <w:proofErr w:type="spellEnd"/>
      <w:r w:rsidRPr="006F07FC">
        <w:rPr>
          <w:bCs/>
          <w:iCs/>
          <w:lang w:val="uk-UA" w:eastAsia="uk-UA"/>
        </w:rPr>
        <w:t xml:space="preserve">) </w:t>
      </w:r>
      <w:r w:rsidRPr="006F07FC">
        <w:rPr>
          <w:lang w:val="uk-UA" w:eastAsia="uk-UA"/>
        </w:rPr>
        <w:t xml:space="preserve">діабетичної </w:t>
      </w:r>
      <w:proofErr w:type="spellStart"/>
      <w:r w:rsidRPr="006F07FC">
        <w:rPr>
          <w:lang w:val="uk-UA" w:eastAsia="uk-UA"/>
        </w:rPr>
        <w:t>полінейропатії</w:t>
      </w:r>
      <w:proofErr w:type="spellEnd"/>
      <w:r w:rsidRPr="006F07FC">
        <w:rPr>
          <w:lang w:val="uk-UA" w:eastAsia="uk-UA"/>
        </w:rPr>
        <w:t xml:space="preserve"> рекомендована добова доза для дорослих становить 24 мл розчину для ін’єкцій (що відповідає 600 мг </w:t>
      </w:r>
      <w:proofErr w:type="spellStart"/>
      <w:r w:rsidRPr="006F07FC">
        <w:rPr>
          <w:lang w:val="uk-UA" w:eastAsia="uk-UA"/>
        </w:rPr>
        <w:t>тіоктової</w:t>
      </w:r>
      <w:proofErr w:type="spellEnd"/>
      <w:r w:rsidRPr="006F07FC">
        <w:rPr>
          <w:lang w:val="uk-UA" w:eastAsia="uk-UA"/>
        </w:rPr>
        <w:t xml:space="preserve"> кислоти на добу) внутрішньовенно.</w:t>
      </w:r>
    </w:p>
    <w:p w14:paraId="0B14B494" w14:textId="77777777" w:rsidR="0009363C" w:rsidRPr="006F07FC" w:rsidRDefault="0009363C" w:rsidP="0009363C">
      <w:pPr>
        <w:autoSpaceDE w:val="0"/>
        <w:autoSpaceDN w:val="0"/>
        <w:jc w:val="both"/>
        <w:rPr>
          <w:lang w:val="uk-UA" w:eastAsia="de-DE"/>
        </w:rPr>
      </w:pPr>
      <w:r w:rsidRPr="006F07FC">
        <w:rPr>
          <w:lang w:val="uk-UA" w:eastAsia="de-DE"/>
        </w:rPr>
        <w:t>Внутрішньовенне введення можна робити без розведення за допомогою шприц</w:t>
      </w:r>
      <w:r w:rsidR="009F04C4">
        <w:rPr>
          <w:lang w:val="uk-UA" w:eastAsia="de-DE"/>
        </w:rPr>
        <w:t>а для ін</w:t>
      </w:r>
      <w:r w:rsidR="009F04C4" w:rsidRPr="006F07FC">
        <w:rPr>
          <w:lang w:val="uk-UA" w:eastAsia="de-DE"/>
        </w:rPr>
        <w:t>’єкцій</w:t>
      </w:r>
      <w:r w:rsidRPr="006F07FC">
        <w:rPr>
          <w:lang w:val="uk-UA" w:eastAsia="de-DE"/>
        </w:rPr>
        <w:t xml:space="preserve"> протягом не менш</w:t>
      </w:r>
      <w:r w:rsidR="009F04C4">
        <w:rPr>
          <w:lang w:val="uk-UA" w:eastAsia="de-DE"/>
        </w:rPr>
        <w:t>е</w:t>
      </w:r>
      <w:r w:rsidRPr="006F07FC">
        <w:rPr>
          <w:lang w:val="uk-UA" w:eastAsia="de-DE"/>
        </w:rPr>
        <w:t xml:space="preserve"> 12 хвилин. </w:t>
      </w:r>
    </w:p>
    <w:p w14:paraId="3460550D" w14:textId="77777777" w:rsidR="0009363C" w:rsidRPr="006F07FC" w:rsidRDefault="0009363C" w:rsidP="0009363C">
      <w:pPr>
        <w:autoSpaceDE w:val="0"/>
        <w:autoSpaceDN w:val="0"/>
        <w:jc w:val="both"/>
        <w:rPr>
          <w:lang w:val="uk-UA" w:eastAsia="de-DE"/>
        </w:rPr>
      </w:pPr>
      <w:r w:rsidRPr="006F07FC">
        <w:rPr>
          <w:lang w:val="uk-UA" w:eastAsia="de-DE"/>
        </w:rPr>
        <w:t xml:space="preserve">Під час початкового періоду лікування розчин для ін‘єкцій треба застосовувати внутрішньовенно </w:t>
      </w:r>
      <w:r w:rsidR="009F04C4">
        <w:rPr>
          <w:lang w:val="uk-UA" w:eastAsia="de-DE"/>
        </w:rPr>
        <w:t>протягом</w:t>
      </w:r>
      <w:r w:rsidRPr="006F07FC">
        <w:rPr>
          <w:lang w:val="uk-UA" w:eastAsia="de-DE"/>
        </w:rPr>
        <w:t xml:space="preserve"> 2</w:t>
      </w:r>
      <w:r w:rsidR="009F04C4">
        <w:rPr>
          <w:lang w:val="uk-UA" w:eastAsia="de-DE"/>
        </w:rPr>
        <w:t>–</w:t>
      </w:r>
      <w:r w:rsidRPr="006F07FC">
        <w:rPr>
          <w:lang w:val="uk-UA" w:eastAsia="de-DE"/>
        </w:rPr>
        <w:t>4 тижнів.</w:t>
      </w:r>
    </w:p>
    <w:p w14:paraId="6EABB1E8" w14:textId="77777777" w:rsidR="0009363C" w:rsidRPr="006F07FC" w:rsidRDefault="0009363C" w:rsidP="0009363C">
      <w:pPr>
        <w:autoSpaceDE w:val="0"/>
        <w:autoSpaceDN w:val="0"/>
        <w:rPr>
          <w:lang w:val="uk-UA" w:eastAsia="de-DE"/>
        </w:rPr>
      </w:pPr>
      <w:r w:rsidRPr="006F07FC">
        <w:rPr>
          <w:i/>
          <w:lang w:val="uk-UA" w:eastAsia="de-DE"/>
        </w:rPr>
        <w:t xml:space="preserve">Правила проведення </w:t>
      </w:r>
      <w:proofErr w:type="spellStart"/>
      <w:r w:rsidRPr="006F07FC">
        <w:rPr>
          <w:i/>
          <w:lang w:val="uk-UA" w:eastAsia="de-DE"/>
        </w:rPr>
        <w:t>інфузії</w:t>
      </w:r>
      <w:proofErr w:type="spellEnd"/>
      <w:r w:rsidRPr="006F07FC">
        <w:rPr>
          <w:lang w:val="uk-UA" w:eastAsia="de-DE"/>
        </w:rPr>
        <w:t xml:space="preserve">. </w:t>
      </w:r>
    </w:p>
    <w:p w14:paraId="4BD4F77C" w14:textId="77777777" w:rsidR="0009363C" w:rsidRPr="006F07FC" w:rsidRDefault="0009363C" w:rsidP="000F6391">
      <w:pPr>
        <w:jc w:val="both"/>
        <w:rPr>
          <w:lang w:val="uk-UA"/>
        </w:rPr>
      </w:pPr>
      <w:r w:rsidRPr="006F07FC">
        <w:rPr>
          <w:lang w:val="uk-UA"/>
        </w:rPr>
        <w:t xml:space="preserve">Для приготування </w:t>
      </w:r>
      <w:proofErr w:type="spellStart"/>
      <w:r w:rsidRPr="006F07FC">
        <w:rPr>
          <w:lang w:val="uk-UA"/>
        </w:rPr>
        <w:t>інфузійного</w:t>
      </w:r>
      <w:proofErr w:type="spellEnd"/>
      <w:r w:rsidRPr="006F07FC">
        <w:rPr>
          <w:lang w:val="uk-UA"/>
        </w:rPr>
        <w:t xml:space="preserve"> розчину слід застосовувати тільки 0,9 % розчин натрію хлориду! </w:t>
      </w:r>
    </w:p>
    <w:p w14:paraId="44272098" w14:textId="77777777" w:rsidR="0009363C" w:rsidRPr="006F07FC" w:rsidRDefault="0009363C" w:rsidP="000F6391">
      <w:pPr>
        <w:jc w:val="both"/>
        <w:rPr>
          <w:lang w:val="uk-UA"/>
        </w:rPr>
      </w:pPr>
      <w:r w:rsidRPr="006F07FC">
        <w:rPr>
          <w:lang w:val="uk-UA"/>
        </w:rPr>
        <w:t xml:space="preserve">Препарат вводити внутрішньовенно </w:t>
      </w:r>
      <w:proofErr w:type="spellStart"/>
      <w:r w:rsidRPr="006F07FC">
        <w:rPr>
          <w:lang w:val="uk-UA"/>
        </w:rPr>
        <w:t>краплинно</w:t>
      </w:r>
      <w:proofErr w:type="spellEnd"/>
      <w:r w:rsidRPr="006F07FC">
        <w:rPr>
          <w:lang w:val="uk-UA"/>
        </w:rPr>
        <w:t xml:space="preserve"> протягом 30 хвилин, перед цим </w:t>
      </w:r>
      <w:r w:rsidR="00882502" w:rsidRPr="006F07FC">
        <w:rPr>
          <w:lang w:val="uk-UA"/>
        </w:rPr>
        <w:t xml:space="preserve">флакон </w:t>
      </w:r>
      <w:r w:rsidRPr="006F07FC">
        <w:rPr>
          <w:lang w:val="uk-UA"/>
        </w:rPr>
        <w:t xml:space="preserve">препарату </w:t>
      </w:r>
      <w:proofErr w:type="spellStart"/>
      <w:r w:rsidR="003B0EDC" w:rsidRPr="006F07FC">
        <w:rPr>
          <w:lang w:val="uk-UA"/>
        </w:rPr>
        <w:t>Тіоктон</w:t>
      </w:r>
      <w:proofErr w:type="spellEnd"/>
      <w:r w:rsidR="003B0EDC" w:rsidRPr="006F07FC">
        <w:rPr>
          <w:lang w:val="uk-UA"/>
        </w:rPr>
        <w:t xml:space="preserve"> </w:t>
      </w:r>
      <w:r w:rsidRPr="006F07FC">
        <w:rPr>
          <w:lang w:val="uk-UA"/>
        </w:rPr>
        <w:t>розводити у 250 мл 0,9 % розчину натрію хлориду.</w:t>
      </w:r>
    </w:p>
    <w:p w14:paraId="2C1A4B2D" w14:textId="77777777" w:rsidR="0009363C" w:rsidRPr="006F07FC" w:rsidRDefault="0009363C" w:rsidP="000F6391">
      <w:pPr>
        <w:jc w:val="both"/>
        <w:rPr>
          <w:lang w:val="uk-UA"/>
        </w:rPr>
      </w:pPr>
      <w:r w:rsidRPr="006F07FC">
        <w:rPr>
          <w:lang w:val="uk-UA"/>
        </w:rPr>
        <w:t xml:space="preserve">Оскільки діюча речовина засобу чутлива до дії світла, розчин для короткотривалої </w:t>
      </w:r>
      <w:proofErr w:type="spellStart"/>
      <w:r w:rsidRPr="006F07FC">
        <w:rPr>
          <w:lang w:val="uk-UA"/>
        </w:rPr>
        <w:t>інфузії</w:t>
      </w:r>
      <w:proofErr w:type="spellEnd"/>
      <w:r w:rsidRPr="006F07FC">
        <w:rPr>
          <w:lang w:val="uk-UA"/>
        </w:rPr>
        <w:t xml:space="preserve"> слід готувати безпосередньо перед застосуванням. </w:t>
      </w:r>
      <w:proofErr w:type="spellStart"/>
      <w:r w:rsidRPr="006F07FC">
        <w:rPr>
          <w:lang w:val="uk-UA"/>
        </w:rPr>
        <w:t>Інфузійний</w:t>
      </w:r>
      <w:proofErr w:type="spellEnd"/>
      <w:r w:rsidRPr="006F07FC">
        <w:rPr>
          <w:lang w:val="uk-UA"/>
        </w:rPr>
        <w:t xml:space="preserve"> розчин слід захищати від дії світла (наприклад, за допомогою алюмінієвої фольги). Захищений від світла розчин для </w:t>
      </w:r>
      <w:proofErr w:type="spellStart"/>
      <w:r w:rsidRPr="006F07FC">
        <w:rPr>
          <w:lang w:val="uk-UA"/>
        </w:rPr>
        <w:t>інфузії</w:t>
      </w:r>
      <w:proofErr w:type="spellEnd"/>
      <w:r w:rsidRPr="006F07FC">
        <w:rPr>
          <w:lang w:val="uk-UA"/>
        </w:rPr>
        <w:t xml:space="preserve"> придатний протягом близько 6 годин. </w:t>
      </w:r>
      <w:r w:rsidRPr="006F07FC">
        <w:rPr>
          <w:b/>
          <w:lang w:val="uk-UA"/>
        </w:rPr>
        <w:t xml:space="preserve">Треба уважно слідкувати за тим, щоб час введення </w:t>
      </w:r>
      <w:proofErr w:type="spellStart"/>
      <w:r w:rsidRPr="006F07FC">
        <w:rPr>
          <w:b/>
          <w:lang w:val="uk-UA"/>
        </w:rPr>
        <w:t>інфузії</w:t>
      </w:r>
      <w:proofErr w:type="spellEnd"/>
      <w:r w:rsidRPr="006F07FC">
        <w:rPr>
          <w:b/>
          <w:lang w:val="uk-UA"/>
        </w:rPr>
        <w:t xml:space="preserve"> тривав не менше 12 хвилин</w:t>
      </w:r>
      <w:r w:rsidRPr="00FA722F">
        <w:rPr>
          <w:b/>
          <w:lang w:val="uk-UA"/>
        </w:rPr>
        <w:t>.</w:t>
      </w:r>
      <w:r w:rsidRPr="006F07FC">
        <w:rPr>
          <w:lang w:val="uk-UA"/>
        </w:rPr>
        <w:t xml:space="preserve">  </w:t>
      </w:r>
    </w:p>
    <w:p w14:paraId="07C2BCAA" w14:textId="77777777" w:rsidR="0009363C" w:rsidRPr="006F07FC" w:rsidRDefault="0009363C" w:rsidP="000F6391">
      <w:pPr>
        <w:jc w:val="both"/>
        <w:rPr>
          <w:lang w:val="uk-UA"/>
        </w:rPr>
      </w:pPr>
      <w:r w:rsidRPr="006F07FC">
        <w:rPr>
          <w:lang w:val="uk-UA"/>
        </w:rPr>
        <w:t>Рекомендується продовжувати лікування α-</w:t>
      </w:r>
      <w:proofErr w:type="spellStart"/>
      <w:r w:rsidRPr="006F07FC">
        <w:rPr>
          <w:lang w:val="uk-UA"/>
        </w:rPr>
        <w:t>ліпоєвою</w:t>
      </w:r>
      <w:proofErr w:type="spellEnd"/>
      <w:r w:rsidRPr="006F07FC">
        <w:rPr>
          <w:lang w:val="uk-UA"/>
        </w:rPr>
        <w:t xml:space="preserve"> кислотою у вигляді пероральних форм </w:t>
      </w:r>
      <w:proofErr w:type="spellStart"/>
      <w:r w:rsidR="003B0EDC" w:rsidRPr="006F07FC">
        <w:rPr>
          <w:lang w:val="uk-UA"/>
        </w:rPr>
        <w:t>тіоктової</w:t>
      </w:r>
      <w:proofErr w:type="spellEnd"/>
      <w:r w:rsidR="003B0EDC" w:rsidRPr="006F07FC">
        <w:rPr>
          <w:lang w:val="uk-UA"/>
        </w:rPr>
        <w:t xml:space="preserve"> кислоти</w:t>
      </w:r>
      <w:r w:rsidRPr="006F07FC">
        <w:rPr>
          <w:lang w:val="uk-UA"/>
        </w:rPr>
        <w:t xml:space="preserve"> у дозі 600 мг на д</w:t>
      </w:r>
      <w:r w:rsidR="00FA722F">
        <w:rPr>
          <w:lang w:val="uk-UA"/>
        </w:rPr>
        <w:t>обу</w:t>
      </w:r>
      <w:r w:rsidRPr="006F07FC">
        <w:rPr>
          <w:lang w:val="uk-UA"/>
        </w:rPr>
        <w:t>.</w:t>
      </w:r>
    </w:p>
    <w:p w14:paraId="54CC8BE4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461F8444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6F07FC">
        <w:rPr>
          <w:i/>
          <w:iCs/>
          <w:lang w:val="uk-UA"/>
        </w:rPr>
        <w:t>Діти.</w:t>
      </w:r>
    </w:p>
    <w:p w14:paraId="422207C2" w14:textId="77777777" w:rsidR="00D21FE4" w:rsidRPr="006F07FC" w:rsidRDefault="00751BF2" w:rsidP="00D21FE4">
      <w:pPr>
        <w:pStyle w:val="a3"/>
        <w:spacing w:before="0" w:beforeAutospacing="0" w:after="0" w:afterAutospacing="0"/>
        <w:jc w:val="both"/>
        <w:rPr>
          <w:lang w:val="uk-UA" w:eastAsia="uk-UA"/>
        </w:rPr>
      </w:pPr>
      <w:r w:rsidRPr="006F07FC">
        <w:rPr>
          <w:lang w:val="uk-UA" w:eastAsia="uk-UA"/>
        </w:rPr>
        <w:t>Не застосовувати дітям.</w:t>
      </w:r>
    </w:p>
    <w:p w14:paraId="2E907C43" w14:textId="77777777" w:rsidR="00751BF2" w:rsidRPr="006F07FC" w:rsidRDefault="00751BF2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77FBE78F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6F07FC">
        <w:rPr>
          <w:b/>
          <w:bCs/>
          <w:i/>
          <w:iCs/>
          <w:lang w:val="uk-UA"/>
        </w:rPr>
        <w:t>Передозування.</w:t>
      </w:r>
    </w:p>
    <w:p w14:paraId="15EF5542" w14:textId="77777777" w:rsidR="00751BF2" w:rsidRPr="006F07FC" w:rsidRDefault="00751BF2" w:rsidP="00751B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lang w:val="uk-UA" w:eastAsia="uk-UA"/>
        </w:rPr>
      </w:pPr>
      <w:r w:rsidRPr="006F07FC">
        <w:rPr>
          <w:iCs/>
          <w:spacing w:val="-1"/>
          <w:lang w:val="uk-UA" w:eastAsia="uk-UA"/>
        </w:rPr>
        <w:t>У випадку передозування може з’являтися нудота, блювання і головний біль.</w:t>
      </w:r>
      <w:r w:rsidRPr="006F07FC">
        <w:rPr>
          <w:spacing w:val="-1"/>
          <w:lang w:val="uk-UA" w:eastAsia="uk-UA"/>
        </w:rPr>
        <w:t xml:space="preserve"> </w:t>
      </w:r>
    </w:p>
    <w:p w14:paraId="19A685A4" w14:textId="77777777" w:rsidR="00751BF2" w:rsidRPr="006F07FC" w:rsidRDefault="00751BF2" w:rsidP="00751B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 w:rsidRPr="006F07FC">
        <w:rPr>
          <w:spacing w:val="-1"/>
          <w:lang w:val="uk-UA" w:eastAsia="uk-UA"/>
        </w:rPr>
        <w:t>В</w:t>
      </w:r>
      <w:r w:rsidRPr="006F07FC">
        <w:rPr>
          <w:lang w:val="uk-UA" w:eastAsia="uk-UA"/>
        </w:rPr>
        <w:t xml:space="preserve">наслідок випадкового або навмисного застосування </w:t>
      </w:r>
      <w:proofErr w:type="spellStart"/>
      <w:r w:rsidRPr="006F07FC">
        <w:rPr>
          <w:lang w:val="uk-UA" w:eastAsia="uk-UA"/>
        </w:rPr>
        <w:t>тіоктової</w:t>
      </w:r>
      <w:proofErr w:type="spellEnd"/>
      <w:r w:rsidRPr="006F07FC">
        <w:rPr>
          <w:lang w:val="uk-UA" w:eastAsia="uk-UA"/>
        </w:rPr>
        <w:t xml:space="preserve"> кислоти у дозі 10-40 г при алкогольній інтоксикації спостерігалися поодинокі випадки з тяжкими ознаками інтоксикації, включаючи летальний наслідок. Клінічні прояви інтоксикації проявлялися у вигляді психомоторного порушення або запаморочення з наступними </w:t>
      </w:r>
      <w:proofErr w:type="spellStart"/>
      <w:r w:rsidRPr="006F07FC">
        <w:rPr>
          <w:lang w:val="uk-UA" w:eastAsia="uk-UA"/>
        </w:rPr>
        <w:t>генералізованими</w:t>
      </w:r>
      <w:proofErr w:type="spellEnd"/>
      <w:r w:rsidRPr="006F07FC">
        <w:rPr>
          <w:lang w:val="uk-UA" w:eastAsia="uk-UA"/>
        </w:rPr>
        <w:t xml:space="preserve"> судомами та розвитком </w:t>
      </w:r>
      <w:proofErr w:type="spellStart"/>
      <w:r w:rsidRPr="006F07FC">
        <w:rPr>
          <w:lang w:val="uk-UA" w:eastAsia="uk-UA"/>
        </w:rPr>
        <w:t>лактоацидозу</w:t>
      </w:r>
      <w:proofErr w:type="spellEnd"/>
      <w:r w:rsidRPr="006F07FC">
        <w:rPr>
          <w:lang w:val="uk-UA" w:eastAsia="uk-UA"/>
        </w:rPr>
        <w:t xml:space="preserve">. Як наслідки інтоксикації </w:t>
      </w:r>
      <w:proofErr w:type="spellStart"/>
      <w:r w:rsidRPr="006F07FC">
        <w:rPr>
          <w:lang w:val="uk-UA" w:eastAsia="uk-UA"/>
        </w:rPr>
        <w:t>тіоктовою</w:t>
      </w:r>
      <w:proofErr w:type="spellEnd"/>
      <w:r w:rsidRPr="006F07FC">
        <w:rPr>
          <w:lang w:val="uk-UA" w:eastAsia="uk-UA"/>
        </w:rPr>
        <w:t xml:space="preserve"> кислотою є гіпоглікемія, шок, </w:t>
      </w:r>
      <w:proofErr w:type="spellStart"/>
      <w:r w:rsidRPr="006F07FC">
        <w:rPr>
          <w:lang w:val="uk-UA" w:eastAsia="uk-UA"/>
        </w:rPr>
        <w:t>рабдоміоліз</w:t>
      </w:r>
      <w:proofErr w:type="spellEnd"/>
      <w:r w:rsidRPr="006F07FC">
        <w:rPr>
          <w:lang w:val="uk-UA" w:eastAsia="uk-UA"/>
        </w:rPr>
        <w:t xml:space="preserve">, гемоліз, </w:t>
      </w:r>
      <w:proofErr w:type="spellStart"/>
      <w:r w:rsidRPr="006F07FC">
        <w:rPr>
          <w:lang w:val="uk-UA" w:eastAsia="uk-UA"/>
        </w:rPr>
        <w:t>дисеміноване</w:t>
      </w:r>
      <w:proofErr w:type="spellEnd"/>
      <w:r w:rsidRPr="006F07FC">
        <w:rPr>
          <w:lang w:val="uk-UA" w:eastAsia="uk-UA"/>
        </w:rPr>
        <w:t xml:space="preserve"> </w:t>
      </w:r>
      <w:proofErr w:type="spellStart"/>
      <w:r w:rsidRPr="006F07FC">
        <w:rPr>
          <w:lang w:val="uk-UA" w:eastAsia="uk-UA"/>
        </w:rPr>
        <w:t>внутрішньосудинне</w:t>
      </w:r>
      <w:proofErr w:type="spellEnd"/>
      <w:r w:rsidRPr="006F07FC">
        <w:rPr>
          <w:lang w:val="uk-UA" w:eastAsia="uk-UA"/>
        </w:rPr>
        <w:t xml:space="preserve"> згортання (ДВЗ), пригнічення кісткового мозку і </w:t>
      </w:r>
      <w:proofErr w:type="spellStart"/>
      <w:r w:rsidRPr="006F07FC">
        <w:rPr>
          <w:lang w:val="uk-UA" w:eastAsia="uk-UA"/>
        </w:rPr>
        <w:t>поліорганна</w:t>
      </w:r>
      <w:proofErr w:type="spellEnd"/>
      <w:r w:rsidRPr="006F07FC">
        <w:rPr>
          <w:lang w:val="uk-UA" w:eastAsia="uk-UA"/>
        </w:rPr>
        <w:t xml:space="preserve"> недостатність.</w:t>
      </w:r>
    </w:p>
    <w:p w14:paraId="2461B50E" w14:textId="77777777" w:rsidR="00751BF2" w:rsidRPr="006F07FC" w:rsidRDefault="00751BF2" w:rsidP="00751BF2">
      <w:pPr>
        <w:autoSpaceDE w:val="0"/>
        <w:autoSpaceDN w:val="0"/>
        <w:jc w:val="both"/>
        <w:rPr>
          <w:i/>
          <w:lang w:val="uk-UA"/>
        </w:rPr>
      </w:pPr>
      <w:r w:rsidRPr="006F07FC">
        <w:rPr>
          <w:i/>
          <w:lang w:val="uk-UA"/>
        </w:rPr>
        <w:t>Лікувальні заходи у випадку інтоксикації.</w:t>
      </w:r>
    </w:p>
    <w:p w14:paraId="536B90B5" w14:textId="77777777" w:rsidR="00751BF2" w:rsidRPr="006F07FC" w:rsidRDefault="00751BF2" w:rsidP="00751BF2">
      <w:pPr>
        <w:autoSpaceDE w:val="0"/>
        <w:autoSpaceDN w:val="0"/>
        <w:jc w:val="both"/>
        <w:rPr>
          <w:lang w:val="uk-UA"/>
        </w:rPr>
      </w:pPr>
      <w:r w:rsidRPr="006F07FC">
        <w:rPr>
          <w:lang w:val="uk-UA"/>
        </w:rPr>
        <w:t xml:space="preserve">Навіть при підозрі на значну інтоксикацію </w:t>
      </w:r>
      <w:proofErr w:type="spellStart"/>
      <w:r w:rsidR="00B65FDA" w:rsidRPr="006F07FC">
        <w:rPr>
          <w:lang w:val="uk-UA"/>
        </w:rPr>
        <w:t>Тіоктоном</w:t>
      </w:r>
      <w:proofErr w:type="spellEnd"/>
      <w:r w:rsidR="00B65FDA" w:rsidRPr="006F07FC">
        <w:rPr>
          <w:lang w:val="uk-UA"/>
        </w:rPr>
        <w:t xml:space="preserve"> </w:t>
      </w:r>
      <w:r w:rsidRPr="006F07FC">
        <w:rPr>
          <w:lang w:val="uk-UA"/>
        </w:rPr>
        <w:t>(наприклад, більше 10 таблеток по 600 мг для дорослих та більше</w:t>
      </w:r>
      <w:r w:rsidR="00FA722F">
        <w:rPr>
          <w:lang w:val="uk-UA"/>
        </w:rPr>
        <w:t xml:space="preserve"> </w:t>
      </w:r>
      <w:r w:rsidRPr="006F07FC">
        <w:rPr>
          <w:lang w:val="uk-UA"/>
        </w:rPr>
        <w:t>50 мг/кг маси тіла для дітей) треба негайно госпіталізувати хворого і розпочати стандартні заходи д</w:t>
      </w:r>
      <w:r w:rsidR="00FA722F">
        <w:rPr>
          <w:lang w:val="uk-UA"/>
        </w:rPr>
        <w:t xml:space="preserve">ля лікування інтоксикації (такі </w:t>
      </w:r>
      <w:r w:rsidRPr="006F07FC">
        <w:rPr>
          <w:lang w:val="uk-UA"/>
        </w:rPr>
        <w:t xml:space="preserve">як викликання блювання, промивання </w:t>
      </w:r>
      <w:proofErr w:type="spellStart"/>
      <w:r w:rsidRPr="006F07FC">
        <w:rPr>
          <w:lang w:val="uk-UA"/>
        </w:rPr>
        <w:t>шлунка</w:t>
      </w:r>
      <w:proofErr w:type="spellEnd"/>
      <w:r w:rsidRPr="006F07FC">
        <w:rPr>
          <w:lang w:val="uk-UA"/>
        </w:rPr>
        <w:t>, при</w:t>
      </w:r>
      <w:r w:rsidR="0062684F">
        <w:rPr>
          <w:lang w:val="uk-UA"/>
        </w:rPr>
        <w:t>йом активованого вугілля</w:t>
      </w:r>
      <w:r w:rsidRPr="006F07FC">
        <w:rPr>
          <w:lang w:val="uk-UA"/>
        </w:rPr>
        <w:t xml:space="preserve">).  Лікування </w:t>
      </w:r>
      <w:proofErr w:type="spellStart"/>
      <w:r w:rsidRPr="006F07FC">
        <w:rPr>
          <w:lang w:val="uk-UA"/>
        </w:rPr>
        <w:t>генералізованих</w:t>
      </w:r>
      <w:proofErr w:type="spellEnd"/>
      <w:r w:rsidRPr="006F07FC">
        <w:rPr>
          <w:lang w:val="uk-UA"/>
        </w:rPr>
        <w:t xml:space="preserve"> судом, </w:t>
      </w:r>
      <w:proofErr w:type="spellStart"/>
      <w:r w:rsidRPr="006F07FC">
        <w:rPr>
          <w:lang w:val="uk-UA"/>
        </w:rPr>
        <w:t>лактатного</w:t>
      </w:r>
      <w:proofErr w:type="spellEnd"/>
      <w:r w:rsidRPr="006F07FC">
        <w:rPr>
          <w:lang w:val="uk-UA"/>
        </w:rPr>
        <w:t xml:space="preserve"> ацидозу та інших загрозливих наслідків інтоксикації має ґрунтуватися на принципах сучасної інтенсивної терапії і бути направлене на усунення симптомів.</w:t>
      </w:r>
    </w:p>
    <w:p w14:paraId="609B598D" w14:textId="77777777" w:rsidR="00751BF2" w:rsidRPr="006F07FC" w:rsidRDefault="00751BF2" w:rsidP="00751BF2">
      <w:pPr>
        <w:autoSpaceDE w:val="0"/>
        <w:autoSpaceDN w:val="0"/>
        <w:jc w:val="both"/>
        <w:rPr>
          <w:lang w:val="uk-UA"/>
        </w:rPr>
      </w:pPr>
      <w:r w:rsidRPr="006F07FC">
        <w:rPr>
          <w:lang w:val="uk-UA"/>
        </w:rPr>
        <w:t xml:space="preserve">На даний час переваг гемодіалізу, </w:t>
      </w:r>
      <w:proofErr w:type="spellStart"/>
      <w:r w:rsidRPr="006F07FC">
        <w:rPr>
          <w:lang w:val="uk-UA"/>
        </w:rPr>
        <w:t>гемоперфузії</w:t>
      </w:r>
      <w:proofErr w:type="spellEnd"/>
      <w:r w:rsidRPr="006F07FC">
        <w:rPr>
          <w:lang w:val="uk-UA"/>
        </w:rPr>
        <w:t xml:space="preserve"> або методів фільтрації у примусовому виведенні </w:t>
      </w:r>
      <w:proofErr w:type="spellStart"/>
      <w:r w:rsidRPr="006F07FC">
        <w:rPr>
          <w:lang w:val="uk-UA"/>
        </w:rPr>
        <w:t>тіоктової</w:t>
      </w:r>
      <w:proofErr w:type="spellEnd"/>
      <w:r w:rsidRPr="006F07FC">
        <w:rPr>
          <w:lang w:val="uk-UA"/>
        </w:rPr>
        <w:t xml:space="preserve"> кислоти не виявлено. </w:t>
      </w:r>
    </w:p>
    <w:p w14:paraId="42C76258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7614A7ED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6F07FC">
        <w:rPr>
          <w:b/>
          <w:bCs/>
          <w:i/>
          <w:iCs/>
          <w:lang w:val="uk-UA"/>
        </w:rPr>
        <w:t>Побічні реакції.</w:t>
      </w:r>
    </w:p>
    <w:p w14:paraId="117B26C3" w14:textId="77777777" w:rsidR="00983463" w:rsidRPr="006F07FC" w:rsidRDefault="00983463" w:rsidP="00983463">
      <w:pPr>
        <w:widowControl w:val="0"/>
        <w:autoSpaceDE w:val="0"/>
        <w:autoSpaceDN w:val="0"/>
        <w:adjustRightInd w:val="0"/>
        <w:jc w:val="both"/>
        <w:rPr>
          <w:iCs/>
          <w:lang w:val="uk-UA" w:eastAsia="de-DE"/>
        </w:rPr>
      </w:pPr>
      <w:r w:rsidRPr="006F07FC">
        <w:rPr>
          <w:iCs/>
          <w:lang w:val="uk-UA" w:eastAsia="de-DE"/>
        </w:rPr>
        <w:t xml:space="preserve">Побічні ефекти, що можуть виникнути під час прийому даного лікарського засобу, </w:t>
      </w:r>
      <w:r w:rsidRPr="006F07FC">
        <w:rPr>
          <w:iCs/>
          <w:lang w:val="uk-UA" w:eastAsia="de-DE"/>
        </w:rPr>
        <w:lastRenderedPageBreak/>
        <w:t xml:space="preserve">класифіковані за наступною частотою: дуже часто (≥ 1/10), часто (≥ 1/100 - &lt; 1/10), нечасто (≥ 1/1000 - &lt;1/100), </w:t>
      </w:r>
      <w:proofErr w:type="spellStart"/>
      <w:r w:rsidRPr="006F07FC">
        <w:rPr>
          <w:iCs/>
          <w:lang w:val="uk-UA" w:eastAsia="de-DE"/>
        </w:rPr>
        <w:t>рідко</w:t>
      </w:r>
      <w:proofErr w:type="spellEnd"/>
      <w:r w:rsidRPr="006F07FC">
        <w:rPr>
          <w:iCs/>
          <w:lang w:val="uk-UA" w:eastAsia="de-DE"/>
        </w:rPr>
        <w:t xml:space="preserve"> (≥ 1/10000 - &lt; 1/1000), дуже </w:t>
      </w:r>
      <w:proofErr w:type="spellStart"/>
      <w:r w:rsidRPr="006F07FC">
        <w:rPr>
          <w:iCs/>
          <w:lang w:val="uk-UA" w:eastAsia="de-DE"/>
        </w:rPr>
        <w:t>рідко</w:t>
      </w:r>
      <w:proofErr w:type="spellEnd"/>
      <w:r w:rsidRPr="006F07FC">
        <w:rPr>
          <w:iCs/>
          <w:lang w:val="uk-UA" w:eastAsia="de-DE"/>
        </w:rPr>
        <w:t xml:space="preserve"> (&lt; 1/10000), невідомо (не можна визначити за наявними даними).</w:t>
      </w:r>
    </w:p>
    <w:p w14:paraId="3C8ABD77" w14:textId="77777777" w:rsidR="00983463" w:rsidRPr="006F07FC" w:rsidRDefault="00983463" w:rsidP="00983463">
      <w:pPr>
        <w:widowControl w:val="0"/>
        <w:autoSpaceDE w:val="0"/>
        <w:autoSpaceDN w:val="0"/>
        <w:adjustRightInd w:val="0"/>
        <w:jc w:val="both"/>
        <w:rPr>
          <w:iCs/>
          <w:lang w:val="uk-UA" w:eastAsia="de-DE"/>
        </w:rPr>
      </w:pPr>
      <w:r w:rsidRPr="006F07FC">
        <w:rPr>
          <w:i/>
          <w:iCs/>
          <w:lang w:val="uk-UA" w:eastAsia="de-DE"/>
        </w:rPr>
        <w:t>З боку крові та лімфатичної системи</w:t>
      </w:r>
      <w:r w:rsidRPr="00DA7BD2">
        <w:rPr>
          <w:i/>
          <w:iCs/>
          <w:lang w:val="uk-UA" w:eastAsia="de-DE"/>
        </w:rPr>
        <w:t>:</w:t>
      </w:r>
      <w:r w:rsidRPr="006F07FC">
        <w:rPr>
          <w:iCs/>
          <w:lang w:val="uk-UA" w:eastAsia="de-DE"/>
        </w:rPr>
        <w:t xml:space="preserve"> дуже </w:t>
      </w:r>
      <w:proofErr w:type="spellStart"/>
      <w:r w:rsidRPr="006F07FC">
        <w:rPr>
          <w:iCs/>
          <w:lang w:val="uk-UA" w:eastAsia="de-DE"/>
        </w:rPr>
        <w:t>рідко</w:t>
      </w:r>
      <w:proofErr w:type="spellEnd"/>
      <w:r w:rsidRPr="006F07FC">
        <w:rPr>
          <w:iCs/>
          <w:lang w:val="uk-UA" w:eastAsia="de-DE"/>
        </w:rPr>
        <w:t xml:space="preserve"> – </w:t>
      </w:r>
      <w:proofErr w:type="spellStart"/>
      <w:r w:rsidRPr="006F07FC">
        <w:rPr>
          <w:iCs/>
          <w:lang w:val="uk-UA" w:eastAsia="de-DE"/>
        </w:rPr>
        <w:t>тромбопатія</w:t>
      </w:r>
      <w:proofErr w:type="spellEnd"/>
      <w:r w:rsidRPr="006F07FC">
        <w:rPr>
          <w:iCs/>
          <w:lang w:val="uk-UA" w:eastAsia="de-DE"/>
        </w:rPr>
        <w:t>.</w:t>
      </w:r>
    </w:p>
    <w:p w14:paraId="319341AB" w14:textId="77777777" w:rsidR="00983463" w:rsidRPr="006F07FC" w:rsidRDefault="00983463" w:rsidP="00983463">
      <w:pPr>
        <w:widowControl w:val="0"/>
        <w:autoSpaceDE w:val="0"/>
        <w:autoSpaceDN w:val="0"/>
        <w:adjustRightInd w:val="0"/>
        <w:jc w:val="both"/>
        <w:rPr>
          <w:iCs/>
          <w:lang w:val="uk-UA" w:eastAsia="de-DE"/>
        </w:rPr>
      </w:pPr>
      <w:r w:rsidRPr="006F07FC">
        <w:rPr>
          <w:i/>
          <w:iCs/>
          <w:lang w:val="uk-UA" w:eastAsia="de-DE"/>
        </w:rPr>
        <w:t>З боку імунної системи:</w:t>
      </w:r>
      <w:r w:rsidRPr="006F07FC">
        <w:rPr>
          <w:iCs/>
          <w:lang w:val="uk-UA" w:eastAsia="de-DE"/>
        </w:rPr>
        <w:t xml:space="preserve"> невідомо – алергічні реакції</w:t>
      </w:r>
      <w:r w:rsidR="00DA7BD2">
        <w:rPr>
          <w:iCs/>
          <w:lang w:val="uk-UA" w:eastAsia="de-DE"/>
        </w:rPr>
        <w:t>, такі як шкірний висип, кропив</w:t>
      </w:r>
      <w:r w:rsidR="00DA7BD2" w:rsidRPr="006F07FC">
        <w:rPr>
          <w:iCs/>
          <w:lang w:val="uk-UA" w:eastAsia="de-DE"/>
        </w:rPr>
        <w:t>’янка</w:t>
      </w:r>
      <w:r w:rsidRPr="006F07FC">
        <w:rPr>
          <w:iCs/>
          <w:lang w:val="uk-UA" w:eastAsia="de-DE"/>
        </w:rPr>
        <w:t>, екзема та свербіж; анафілактичні реакції.</w:t>
      </w:r>
    </w:p>
    <w:p w14:paraId="794B02E0" w14:textId="77777777" w:rsidR="00983463" w:rsidRPr="006F07FC" w:rsidRDefault="00983463" w:rsidP="00983463">
      <w:pPr>
        <w:widowControl w:val="0"/>
        <w:autoSpaceDE w:val="0"/>
        <w:autoSpaceDN w:val="0"/>
        <w:adjustRightInd w:val="0"/>
        <w:jc w:val="both"/>
        <w:rPr>
          <w:iCs/>
          <w:lang w:val="uk-UA" w:eastAsia="de-DE"/>
        </w:rPr>
      </w:pPr>
      <w:r w:rsidRPr="006F07FC">
        <w:rPr>
          <w:iCs/>
          <w:lang w:val="uk-UA" w:eastAsia="de-DE"/>
        </w:rPr>
        <w:t xml:space="preserve">Частота невідома: інсулін </w:t>
      </w:r>
      <w:proofErr w:type="spellStart"/>
      <w:r w:rsidRPr="006F07FC">
        <w:rPr>
          <w:iCs/>
          <w:lang w:val="uk-UA" w:eastAsia="de-DE"/>
        </w:rPr>
        <w:t>аутоімунний</w:t>
      </w:r>
      <w:proofErr w:type="spellEnd"/>
      <w:r w:rsidRPr="006F07FC">
        <w:rPr>
          <w:iCs/>
          <w:lang w:val="uk-UA" w:eastAsia="de-DE"/>
        </w:rPr>
        <w:t xml:space="preserve"> синдром (див. розділ: «</w:t>
      </w:r>
      <w:r w:rsidRPr="006F07FC">
        <w:rPr>
          <w:i/>
          <w:iCs/>
          <w:lang w:val="uk-UA" w:eastAsia="uk-UA"/>
        </w:rPr>
        <w:t>Особливості застосування</w:t>
      </w:r>
      <w:r w:rsidRPr="006F07FC">
        <w:rPr>
          <w:iCs/>
          <w:lang w:val="uk-UA" w:eastAsia="de-DE"/>
        </w:rPr>
        <w:t>»).</w:t>
      </w:r>
    </w:p>
    <w:p w14:paraId="4DBA4FB3" w14:textId="77777777" w:rsidR="00983463" w:rsidRPr="006F07FC" w:rsidRDefault="00983463" w:rsidP="00983463">
      <w:pPr>
        <w:widowControl w:val="0"/>
        <w:autoSpaceDE w:val="0"/>
        <w:autoSpaceDN w:val="0"/>
        <w:adjustRightInd w:val="0"/>
        <w:jc w:val="both"/>
        <w:rPr>
          <w:iCs/>
          <w:lang w:val="uk-UA" w:eastAsia="de-DE"/>
        </w:rPr>
      </w:pPr>
      <w:r w:rsidRPr="006F07FC">
        <w:rPr>
          <w:i/>
          <w:iCs/>
          <w:lang w:val="uk-UA" w:eastAsia="de-DE"/>
        </w:rPr>
        <w:t>Метаболізм та розлади харчування:</w:t>
      </w:r>
      <w:r w:rsidRPr="006F07FC">
        <w:rPr>
          <w:iCs/>
          <w:lang w:val="uk-UA" w:eastAsia="de-DE"/>
        </w:rPr>
        <w:t xml:space="preserve"> дуже </w:t>
      </w:r>
      <w:proofErr w:type="spellStart"/>
      <w:r w:rsidRPr="006F07FC">
        <w:rPr>
          <w:iCs/>
          <w:lang w:val="uk-UA" w:eastAsia="de-DE"/>
        </w:rPr>
        <w:t>рідко</w:t>
      </w:r>
      <w:proofErr w:type="spellEnd"/>
      <w:r w:rsidRPr="006F07FC">
        <w:rPr>
          <w:iCs/>
          <w:lang w:val="uk-UA" w:eastAsia="de-DE"/>
        </w:rPr>
        <w:t xml:space="preserve"> – гіпоглікемія*.</w:t>
      </w:r>
    </w:p>
    <w:p w14:paraId="7F905779" w14:textId="77777777" w:rsidR="00983463" w:rsidRPr="006F07FC" w:rsidRDefault="00983463" w:rsidP="00983463">
      <w:pPr>
        <w:widowControl w:val="0"/>
        <w:autoSpaceDE w:val="0"/>
        <w:autoSpaceDN w:val="0"/>
        <w:adjustRightInd w:val="0"/>
        <w:jc w:val="both"/>
        <w:rPr>
          <w:bCs/>
          <w:iCs/>
          <w:lang w:val="uk-UA" w:eastAsia="de-DE"/>
        </w:rPr>
      </w:pPr>
      <w:r w:rsidRPr="006F07FC">
        <w:rPr>
          <w:bCs/>
          <w:i/>
          <w:iCs/>
          <w:lang w:val="uk-UA" w:eastAsia="de-DE"/>
        </w:rPr>
        <w:t xml:space="preserve">З боку нервової системи: </w:t>
      </w:r>
      <w:r w:rsidRPr="006F07FC">
        <w:rPr>
          <w:bCs/>
          <w:iCs/>
          <w:lang w:val="uk-UA" w:eastAsia="de-DE"/>
        </w:rPr>
        <w:t xml:space="preserve">нечасто – </w:t>
      </w:r>
      <w:proofErr w:type="spellStart"/>
      <w:r w:rsidRPr="006F07FC">
        <w:rPr>
          <w:bCs/>
          <w:iCs/>
          <w:lang w:val="uk-UA" w:eastAsia="de-DE"/>
        </w:rPr>
        <w:t>дисгевзія</w:t>
      </w:r>
      <w:proofErr w:type="spellEnd"/>
      <w:r w:rsidRPr="006F07FC">
        <w:rPr>
          <w:bCs/>
          <w:iCs/>
          <w:lang w:val="uk-UA" w:eastAsia="de-DE"/>
        </w:rPr>
        <w:t xml:space="preserve">; дуже </w:t>
      </w:r>
      <w:proofErr w:type="spellStart"/>
      <w:r w:rsidRPr="006F07FC">
        <w:rPr>
          <w:bCs/>
          <w:iCs/>
          <w:lang w:val="uk-UA" w:eastAsia="de-DE"/>
        </w:rPr>
        <w:t>рідко</w:t>
      </w:r>
      <w:proofErr w:type="spellEnd"/>
      <w:r w:rsidRPr="006F07FC">
        <w:rPr>
          <w:bCs/>
          <w:iCs/>
          <w:lang w:val="uk-UA" w:eastAsia="de-DE"/>
        </w:rPr>
        <w:t xml:space="preserve"> – апоплексичний удар, </w:t>
      </w:r>
      <w:r w:rsidR="00BD745A" w:rsidRPr="006F07FC">
        <w:rPr>
          <w:bCs/>
          <w:iCs/>
          <w:lang w:val="uk-UA" w:eastAsia="de-DE"/>
        </w:rPr>
        <w:t xml:space="preserve">судоми, </w:t>
      </w:r>
      <w:r w:rsidRPr="006F07FC">
        <w:rPr>
          <w:bCs/>
          <w:iCs/>
          <w:lang w:val="uk-UA" w:eastAsia="de-DE"/>
        </w:rPr>
        <w:t>головний біль*, запаморочення*, пітливість *.</w:t>
      </w:r>
    </w:p>
    <w:p w14:paraId="5F78A7CE" w14:textId="77777777" w:rsidR="00983463" w:rsidRPr="006F07FC" w:rsidRDefault="00983463" w:rsidP="00983463">
      <w:pPr>
        <w:widowControl w:val="0"/>
        <w:autoSpaceDE w:val="0"/>
        <w:autoSpaceDN w:val="0"/>
        <w:adjustRightInd w:val="0"/>
        <w:jc w:val="both"/>
        <w:rPr>
          <w:bCs/>
          <w:iCs/>
          <w:lang w:val="uk-UA" w:eastAsia="de-DE"/>
        </w:rPr>
      </w:pPr>
      <w:r w:rsidRPr="006F07FC">
        <w:rPr>
          <w:bCs/>
          <w:i/>
          <w:iCs/>
          <w:lang w:val="uk-UA" w:eastAsia="de-DE"/>
        </w:rPr>
        <w:t xml:space="preserve">З боку органів зору: </w:t>
      </w:r>
      <w:r w:rsidRPr="006F07FC">
        <w:rPr>
          <w:bCs/>
          <w:iCs/>
          <w:lang w:val="uk-UA" w:eastAsia="de-DE"/>
        </w:rPr>
        <w:t xml:space="preserve">дуже </w:t>
      </w:r>
      <w:proofErr w:type="spellStart"/>
      <w:r w:rsidRPr="006F07FC">
        <w:rPr>
          <w:bCs/>
          <w:iCs/>
          <w:lang w:val="uk-UA" w:eastAsia="de-DE"/>
        </w:rPr>
        <w:t>рідко</w:t>
      </w:r>
      <w:proofErr w:type="spellEnd"/>
      <w:r w:rsidRPr="006F07FC">
        <w:rPr>
          <w:bCs/>
          <w:iCs/>
          <w:lang w:val="uk-UA" w:eastAsia="de-DE"/>
        </w:rPr>
        <w:t xml:space="preserve"> – </w:t>
      </w:r>
      <w:proofErr w:type="spellStart"/>
      <w:r w:rsidRPr="006F07FC">
        <w:rPr>
          <w:bCs/>
          <w:iCs/>
          <w:lang w:val="uk-UA" w:eastAsia="de-DE"/>
        </w:rPr>
        <w:t>диплопія</w:t>
      </w:r>
      <w:proofErr w:type="spellEnd"/>
      <w:r w:rsidRPr="006F07FC">
        <w:rPr>
          <w:bCs/>
          <w:iCs/>
          <w:lang w:val="uk-UA" w:eastAsia="de-DE"/>
        </w:rPr>
        <w:t>, розлади зору.</w:t>
      </w:r>
    </w:p>
    <w:p w14:paraId="32CA6493" w14:textId="77777777" w:rsidR="00983463" w:rsidRPr="006F07FC" w:rsidRDefault="00983463" w:rsidP="00983463">
      <w:pPr>
        <w:widowControl w:val="0"/>
        <w:autoSpaceDE w:val="0"/>
        <w:autoSpaceDN w:val="0"/>
        <w:adjustRightInd w:val="0"/>
        <w:jc w:val="both"/>
        <w:rPr>
          <w:bCs/>
          <w:i/>
          <w:iCs/>
          <w:lang w:val="uk-UA" w:eastAsia="de-DE"/>
        </w:rPr>
      </w:pPr>
      <w:r w:rsidRPr="006F07FC">
        <w:rPr>
          <w:bCs/>
          <w:i/>
          <w:iCs/>
          <w:lang w:val="uk-UA" w:eastAsia="de-DE"/>
        </w:rPr>
        <w:t xml:space="preserve">З боку шлунково-кишкового тракту: </w:t>
      </w:r>
      <w:r w:rsidRPr="006F07FC">
        <w:rPr>
          <w:bCs/>
          <w:iCs/>
          <w:lang w:val="uk-UA" w:eastAsia="de-DE"/>
        </w:rPr>
        <w:t>н</w:t>
      </w:r>
      <w:r w:rsidRPr="006F07FC">
        <w:rPr>
          <w:iCs/>
          <w:lang w:val="uk-UA" w:eastAsia="de-DE"/>
        </w:rPr>
        <w:t xml:space="preserve">ечасто </w:t>
      </w:r>
      <w:r w:rsidRPr="006F07FC">
        <w:rPr>
          <w:lang w:val="uk-UA" w:eastAsia="uk-UA"/>
        </w:rPr>
        <w:t>–</w:t>
      </w:r>
      <w:r w:rsidRPr="006F07FC">
        <w:rPr>
          <w:iCs/>
          <w:lang w:val="uk-UA" w:eastAsia="de-DE"/>
        </w:rPr>
        <w:t xml:space="preserve"> нудота і блювання.</w:t>
      </w:r>
    </w:p>
    <w:p w14:paraId="198133F8" w14:textId="77777777" w:rsidR="00983463" w:rsidRPr="006F07FC" w:rsidRDefault="00983463" w:rsidP="009834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lang w:val="uk-UA" w:eastAsia="de-DE"/>
        </w:rPr>
      </w:pPr>
      <w:r w:rsidRPr="006F07FC">
        <w:rPr>
          <w:bCs/>
          <w:i/>
          <w:iCs/>
          <w:lang w:val="uk-UA" w:eastAsia="de-DE"/>
        </w:rPr>
        <w:t>З боку шкіри та підшкірної клітковини:</w:t>
      </w:r>
      <w:r w:rsidRPr="006F07FC">
        <w:rPr>
          <w:bCs/>
          <w:iCs/>
          <w:lang w:val="uk-UA" w:eastAsia="de-DE"/>
        </w:rPr>
        <w:t xml:space="preserve"> д</w:t>
      </w:r>
      <w:r w:rsidRPr="006F07FC">
        <w:rPr>
          <w:iCs/>
          <w:lang w:val="uk-UA" w:eastAsia="de-DE"/>
        </w:rPr>
        <w:t xml:space="preserve">уже </w:t>
      </w:r>
      <w:proofErr w:type="spellStart"/>
      <w:r w:rsidRPr="006F07FC">
        <w:rPr>
          <w:iCs/>
          <w:lang w:val="uk-UA" w:eastAsia="de-DE"/>
        </w:rPr>
        <w:t>рідко</w:t>
      </w:r>
      <w:proofErr w:type="spellEnd"/>
      <w:r w:rsidRPr="006F07FC">
        <w:rPr>
          <w:iCs/>
          <w:lang w:val="uk-UA" w:eastAsia="de-DE"/>
        </w:rPr>
        <w:t xml:space="preserve"> – пурпура. </w:t>
      </w:r>
    </w:p>
    <w:p w14:paraId="0CB37F66" w14:textId="77777777" w:rsidR="00983463" w:rsidRPr="006F07FC" w:rsidRDefault="00983463" w:rsidP="00983463">
      <w:pPr>
        <w:widowControl w:val="0"/>
        <w:autoSpaceDE w:val="0"/>
        <w:autoSpaceDN w:val="0"/>
        <w:adjustRightInd w:val="0"/>
        <w:jc w:val="both"/>
        <w:rPr>
          <w:bCs/>
          <w:i/>
          <w:iCs/>
          <w:lang w:val="uk-UA" w:eastAsia="de-DE"/>
        </w:rPr>
      </w:pPr>
      <w:r w:rsidRPr="006F07FC">
        <w:rPr>
          <w:bCs/>
          <w:i/>
          <w:iCs/>
          <w:lang w:val="uk-UA" w:eastAsia="de-DE"/>
        </w:rPr>
        <w:t xml:space="preserve">Загальні розлади та місцеві реакції: </w:t>
      </w:r>
      <w:r w:rsidRPr="006F07FC">
        <w:rPr>
          <w:bCs/>
          <w:iCs/>
          <w:lang w:val="uk-UA" w:eastAsia="de-DE"/>
        </w:rPr>
        <w:t xml:space="preserve">дуже </w:t>
      </w:r>
      <w:proofErr w:type="spellStart"/>
      <w:r w:rsidRPr="006F07FC">
        <w:rPr>
          <w:bCs/>
          <w:iCs/>
          <w:lang w:val="uk-UA" w:eastAsia="de-DE"/>
        </w:rPr>
        <w:t>рідко</w:t>
      </w:r>
      <w:proofErr w:type="spellEnd"/>
      <w:r w:rsidRPr="006F07FC">
        <w:rPr>
          <w:bCs/>
          <w:i/>
          <w:iCs/>
          <w:lang w:val="uk-UA" w:eastAsia="de-DE"/>
        </w:rPr>
        <w:t xml:space="preserve"> </w:t>
      </w:r>
      <w:r w:rsidRPr="006F07FC">
        <w:rPr>
          <w:bCs/>
          <w:iCs/>
          <w:lang w:val="uk-UA" w:eastAsia="de-DE"/>
        </w:rPr>
        <w:t>– реакції у місці введення.</w:t>
      </w:r>
    </w:p>
    <w:p w14:paraId="5D2B1869" w14:textId="77777777" w:rsidR="00983463" w:rsidRPr="006F07FC" w:rsidRDefault="00983463" w:rsidP="00983463">
      <w:pPr>
        <w:widowControl w:val="0"/>
        <w:autoSpaceDE w:val="0"/>
        <w:autoSpaceDN w:val="0"/>
        <w:adjustRightInd w:val="0"/>
        <w:jc w:val="both"/>
        <w:rPr>
          <w:iCs/>
          <w:lang w:val="uk-UA" w:eastAsia="de-DE"/>
        </w:rPr>
      </w:pPr>
      <w:r w:rsidRPr="006F07FC">
        <w:rPr>
          <w:iCs/>
          <w:lang w:val="uk-UA" w:eastAsia="de-DE"/>
        </w:rPr>
        <w:t>Пі</w:t>
      </w:r>
      <w:r w:rsidR="006E750F">
        <w:rPr>
          <w:iCs/>
          <w:lang w:val="uk-UA" w:eastAsia="de-DE"/>
        </w:rPr>
        <w:t>сля швидкої внутрішньовенної ін</w:t>
      </w:r>
      <w:r w:rsidR="006E750F" w:rsidRPr="006F07FC">
        <w:rPr>
          <w:iCs/>
          <w:lang w:val="uk-UA" w:eastAsia="de-DE"/>
        </w:rPr>
        <w:t>’єкції</w:t>
      </w:r>
      <w:r w:rsidRPr="006F07FC">
        <w:rPr>
          <w:iCs/>
          <w:lang w:val="uk-UA" w:eastAsia="de-DE"/>
        </w:rPr>
        <w:t xml:space="preserve"> може з'явитися відчуття тиску в голові і утруднення дихання, які проходять самостійно.</w:t>
      </w:r>
    </w:p>
    <w:p w14:paraId="5954625D" w14:textId="77777777" w:rsidR="00983463" w:rsidRPr="006F07FC" w:rsidRDefault="00983463" w:rsidP="009834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lang w:val="uk-UA" w:eastAsia="de-DE"/>
        </w:rPr>
      </w:pPr>
      <w:r w:rsidRPr="006F07FC">
        <w:rPr>
          <w:iCs/>
          <w:lang w:val="uk-UA" w:eastAsia="de-DE"/>
        </w:rPr>
        <w:t>*Внаслідо</w:t>
      </w:r>
      <w:r w:rsidR="006E750F">
        <w:rPr>
          <w:iCs/>
          <w:lang w:val="uk-UA" w:eastAsia="de-DE"/>
        </w:rPr>
        <w:t>к покращення виведення глюкози</w:t>
      </w:r>
      <w:r w:rsidRPr="006F07FC">
        <w:rPr>
          <w:iCs/>
          <w:lang w:val="uk-UA" w:eastAsia="de-DE"/>
        </w:rPr>
        <w:t xml:space="preserve"> дуже </w:t>
      </w:r>
      <w:proofErr w:type="spellStart"/>
      <w:r w:rsidRPr="006F07FC">
        <w:rPr>
          <w:iCs/>
          <w:lang w:val="uk-UA" w:eastAsia="de-DE"/>
        </w:rPr>
        <w:t>рідк</w:t>
      </w:r>
      <w:r w:rsidR="006E750F">
        <w:rPr>
          <w:iCs/>
          <w:lang w:val="uk-UA" w:eastAsia="de-DE"/>
        </w:rPr>
        <w:t>о</w:t>
      </w:r>
      <w:proofErr w:type="spellEnd"/>
      <w:r w:rsidRPr="006F07FC">
        <w:rPr>
          <w:iCs/>
          <w:lang w:val="uk-UA" w:eastAsia="de-DE"/>
        </w:rPr>
        <w:t xml:space="preserve"> може спостерігатися зниження рівня глюкози в крові. У зв’язку з цим відзначалась поява симптомів гіпоглікемії, таких як запаморочення, пітливість, головний біль і затуманення зору. </w:t>
      </w:r>
    </w:p>
    <w:p w14:paraId="154E6B0C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7C6D55FD" w14:textId="77777777" w:rsidR="009C4DBC" w:rsidRPr="00CE59B6" w:rsidRDefault="002D25F0" w:rsidP="00D21FE4">
      <w:pPr>
        <w:pStyle w:val="a3"/>
        <w:spacing w:before="0" w:beforeAutospacing="0" w:after="0" w:afterAutospacing="0"/>
        <w:jc w:val="both"/>
        <w:rPr>
          <w:bCs/>
          <w:iCs/>
          <w:highlight w:val="yellow"/>
          <w:lang w:val="uk-UA"/>
        </w:rPr>
      </w:pPr>
      <w:r w:rsidRPr="00CE59B6">
        <w:rPr>
          <w:b/>
          <w:bCs/>
          <w:i/>
          <w:iCs/>
          <w:highlight w:val="yellow"/>
          <w:lang w:val="uk-UA"/>
        </w:rPr>
        <w:t>Термін придатності.</w:t>
      </w:r>
      <w:r w:rsidR="003A0911" w:rsidRPr="00CE59B6">
        <w:rPr>
          <w:b/>
          <w:bCs/>
          <w:i/>
          <w:iCs/>
          <w:highlight w:val="yellow"/>
          <w:lang w:val="uk-UA"/>
        </w:rPr>
        <w:t xml:space="preserve"> </w:t>
      </w:r>
      <w:r w:rsidR="003A0911" w:rsidRPr="00CE59B6">
        <w:rPr>
          <w:bCs/>
          <w:iCs/>
          <w:highlight w:val="yellow"/>
          <w:lang w:val="uk-UA"/>
        </w:rPr>
        <w:t>3</w:t>
      </w:r>
      <w:r w:rsidR="00E02190" w:rsidRPr="00CE59B6">
        <w:rPr>
          <w:bCs/>
          <w:iCs/>
          <w:highlight w:val="yellow"/>
          <w:lang w:val="uk-UA"/>
        </w:rPr>
        <w:t xml:space="preserve"> роки.</w:t>
      </w:r>
      <w:r w:rsidR="009C4DBC" w:rsidRPr="00CE59B6">
        <w:rPr>
          <w:bCs/>
          <w:iCs/>
          <w:highlight w:val="yellow"/>
          <w:lang w:val="uk-UA"/>
        </w:rPr>
        <w:t xml:space="preserve"> </w:t>
      </w:r>
    </w:p>
    <w:p w14:paraId="0988D8AE" w14:textId="77777777" w:rsidR="00E02190" w:rsidRPr="00CE59B6" w:rsidRDefault="007004AB" w:rsidP="00D21FE4">
      <w:pPr>
        <w:pStyle w:val="a3"/>
        <w:spacing w:before="0" w:beforeAutospacing="0" w:after="0" w:afterAutospacing="0"/>
        <w:jc w:val="both"/>
        <w:rPr>
          <w:highlight w:val="yellow"/>
          <w:lang w:val="uk-UA" w:eastAsia="de-DE"/>
        </w:rPr>
      </w:pPr>
      <w:r w:rsidRPr="00CE59B6">
        <w:rPr>
          <w:highlight w:val="yellow"/>
          <w:lang w:val="uk-UA" w:eastAsia="de-DE"/>
        </w:rPr>
        <w:t xml:space="preserve">Продукт слід використовувати </w:t>
      </w:r>
      <w:r w:rsidR="003946DE" w:rsidRPr="00CE59B6">
        <w:rPr>
          <w:highlight w:val="yellow"/>
          <w:lang w:val="uk-UA" w:eastAsia="de-DE"/>
        </w:rPr>
        <w:t>від</w:t>
      </w:r>
      <w:r w:rsidR="009C4DBC" w:rsidRPr="00CE59B6">
        <w:rPr>
          <w:highlight w:val="yellow"/>
          <w:lang w:val="uk-UA" w:eastAsia="de-DE"/>
        </w:rPr>
        <w:t>разу.</w:t>
      </w:r>
    </w:p>
    <w:p w14:paraId="61ED31CC" w14:textId="77777777" w:rsidR="003946DE" w:rsidRPr="00CE59B6" w:rsidRDefault="003946DE" w:rsidP="00D21FE4">
      <w:pPr>
        <w:pStyle w:val="a3"/>
        <w:spacing w:before="0" w:beforeAutospacing="0" w:after="0" w:afterAutospacing="0"/>
        <w:jc w:val="both"/>
        <w:rPr>
          <w:bCs/>
          <w:iCs/>
          <w:highlight w:val="yellow"/>
          <w:lang w:val="uk-UA"/>
        </w:rPr>
      </w:pPr>
      <w:r w:rsidRPr="00CE59B6">
        <w:rPr>
          <w:highlight w:val="yellow"/>
          <w:lang w:val="uk-UA" w:eastAsia="de-DE"/>
        </w:rPr>
        <w:t xml:space="preserve">Захищений від світла розчин для </w:t>
      </w:r>
      <w:proofErr w:type="spellStart"/>
      <w:r w:rsidRPr="00CE59B6">
        <w:rPr>
          <w:highlight w:val="yellow"/>
          <w:lang w:val="uk-UA" w:eastAsia="de-DE"/>
        </w:rPr>
        <w:t>інфузії</w:t>
      </w:r>
      <w:proofErr w:type="spellEnd"/>
      <w:r w:rsidRPr="00CE59B6">
        <w:rPr>
          <w:highlight w:val="yellow"/>
          <w:lang w:val="uk-UA" w:eastAsia="de-DE"/>
        </w:rPr>
        <w:t>, розведений у фізіологічному розчині, придатний протягом 6 годин.</w:t>
      </w:r>
    </w:p>
    <w:p w14:paraId="639C4DDA" w14:textId="77777777" w:rsidR="00D21FE4" w:rsidRPr="00CE59B6" w:rsidRDefault="00D21FE4" w:rsidP="00D21FE4">
      <w:pPr>
        <w:pStyle w:val="a3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7E638FDD" w14:textId="77777777" w:rsidR="002D25F0" w:rsidRPr="00CE59B6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highlight w:val="yellow"/>
          <w:lang w:val="uk-UA"/>
        </w:rPr>
      </w:pPr>
      <w:r w:rsidRPr="00CE59B6">
        <w:rPr>
          <w:b/>
          <w:bCs/>
          <w:highlight w:val="yellow"/>
          <w:lang w:val="uk-UA"/>
        </w:rPr>
        <w:t>Умови зберігання.</w:t>
      </w:r>
    </w:p>
    <w:p w14:paraId="4C931229" w14:textId="77777777" w:rsidR="00983463" w:rsidRDefault="00983463" w:rsidP="009834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 w:eastAsia="uk-UA"/>
        </w:rPr>
      </w:pPr>
      <w:r w:rsidRPr="00CE59B6">
        <w:rPr>
          <w:highlight w:val="yellow"/>
          <w:lang w:val="uk-UA" w:eastAsia="de-DE"/>
        </w:rPr>
        <w:t xml:space="preserve">Зберігати в </w:t>
      </w:r>
      <w:r w:rsidR="000B5BE9" w:rsidRPr="00CE59B6">
        <w:rPr>
          <w:highlight w:val="yellow"/>
          <w:lang w:val="uk-UA" w:eastAsia="de-DE"/>
        </w:rPr>
        <w:t>оригінальній</w:t>
      </w:r>
      <w:r w:rsidRPr="00CE59B6">
        <w:rPr>
          <w:highlight w:val="yellow"/>
          <w:lang w:val="uk-UA" w:eastAsia="de-DE"/>
        </w:rPr>
        <w:t xml:space="preserve"> упаковці для захисту від дії світла при температурі не вище 25</w:t>
      </w:r>
      <w:r w:rsidR="00D05F88" w:rsidRPr="00CE59B6">
        <w:rPr>
          <w:highlight w:val="yellow"/>
          <w:lang w:val="uk-UA"/>
        </w:rPr>
        <w:t xml:space="preserve"> °</w:t>
      </w:r>
      <w:r w:rsidRPr="00CE59B6">
        <w:rPr>
          <w:highlight w:val="yellow"/>
          <w:lang w:val="uk-UA" w:eastAsia="de-DE"/>
        </w:rPr>
        <w:t>С.</w:t>
      </w:r>
      <w:r w:rsidR="000B5BE9" w:rsidRPr="00CE59B6">
        <w:rPr>
          <w:highlight w:val="yellow"/>
          <w:lang w:val="uk-UA" w:eastAsia="de-DE"/>
        </w:rPr>
        <w:t xml:space="preserve"> Не заморожувати.</w:t>
      </w:r>
      <w:r w:rsidR="009C4DBC" w:rsidRPr="00CE59B6">
        <w:rPr>
          <w:highlight w:val="yellow"/>
          <w:lang w:val="uk-UA" w:eastAsia="de-DE"/>
        </w:rPr>
        <w:t xml:space="preserve"> </w:t>
      </w:r>
      <w:r w:rsidRPr="00CE59B6">
        <w:rPr>
          <w:highlight w:val="yellow"/>
          <w:lang w:val="uk-UA" w:eastAsia="uk-UA"/>
        </w:rPr>
        <w:t>Зберігати у недоступному для дітей місці.</w:t>
      </w:r>
    </w:p>
    <w:p w14:paraId="412C98EB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66F34A08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6F07FC">
        <w:rPr>
          <w:b/>
          <w:bCs/>
          <w:i/>
          <w:iCs/>
          <w:lang w:val="uk-UA"/>
        </w:rPr>
        <w:t>Несумісність</w:t>
      </w:r>
      <w:r w:rsidR="00983463" w:rsidRPr="006F07FC">
        <w:rPr>
          <w:b/>
          <w:bCs/>
          <w:i/>
          <w:iCs/>
          <w:lang w:val="uk-UA"/>
        </w:rPr>
        <w:t>.</w:t>
      </w:r>
    </w:p>
    <w:p w14:paraId="1E6C0CDE" w14:textId="77777777" w:rsidR="00983463" w:rsidRPr="006F07FC" w:rsidRDefault="00983463" w:rsidP="00983463">
      <w:pPr>
        <w:jc w:val="both"/>
        <w:rPr>
          <w:lang w:val="uk-UA" w:eastAsia="de-DE"/>
        </w:rPr>
      </w:pPr>
      <w:proofErr w:type="spellStart"/>
      <w:r w:rsidRPr="006F07FC">
        <w:rPr>
          <w:lang w:val="uk-UA" w:eastAsia="de-DE"/>
        </w:rPr>
        <w:t>Тіоктова</w:t>
      </w:r>
      <w:proofErr w:type="spellEnd"/>
      <w:r w:rsidRPr="006F07FC">
        <w:rPr>
          <w:lang w:val="uk-UA" w:eastAsia="de-DE"/>
        </w:rPr>
        <w:t xml:space="preserve"> кислота </w:t>
      </w:r>
      <w:proofErr w:type="spellStart"/>
      <w:r w:rsidRPr="006F07FC">
        <w:rPr>
          <w:i/>
          <w:lang w:val="uk-UA" w:eastAsia="de-DE"/>
        </w:rPr>
        <w:t>in</w:t>
      </w:r>
      <w:proofErr w:type="spellEnd"/>
      <w:r w:rsidRPr="006F07FC">
        <w:rPr>
          <w:i/>
          <w:lang w:val="uk-UA" w:eastAsia="de-DE"/>
        </w:rPr>
        <w:t xml:space="preserve"> </w:t>
      </w:r>
      <w:proofErr w:type="spellStart"/>
      <w:r w:rsidRPr="006F07FC">
        <w:rPr>
          <w:i/>
          <w:lang w:val="uk-UA" w:eastAsia="de-DE"/>
        </w:rPr>
        <w:t>vitro</w:t>
      </w:r>
      <w:proofErr w:type="spellEnd"/>
      <w:r w:rsidRPr="006F07FC">
        <w:rPr>
          <w:i/>
          <w:lang w:val="uk-UA" w:eastAsia="de-DE"/>
        </w:rPr>
        <w:t xml:space="preserve"> </w:t>
      </w:r>
      <w:r w:rsidRPr="006F07FC">
        <w:rPr>
          <w:lang w:val="uk-UA" w:eastAsia="de-DE"/>
        </w:rPr>
        <w:t xml:space="preserve"> реагує з комплексами іонів металів (наприклад, з </w:t>
      </w:r>
      <w:proofErr w:type="spellStart"/>
      <w:r w:rsidRPr="006F07FC">
        <w:rPr>
          <w:lang w:val="uk-UA" w:eastAsia="de-DE"/>
        </w:rPr>
        <w:t>цисплатином</w:t>
      </w:r>
      <w:proofErr w:type="spellEnd"/>
      <w:r w:rsidRPr="006F07FC">
        <w:rPr>
          <w:lang w:val="uk-UA" w:eastAsia="de-DE"/>
        </w:rPr>
        <w:t xml:space="preserve">). </w:t>
      </w:r>
      <w:proofErr w:type="spellStart"/>
      <w:r w:rsidRPr="006F07FC">
        <w:rPr>
          <w:lang w:val="uk-UA" w:eastAsia="de-DE"/>
        </w:rPr>
        <w:t>Тіоктова</w:t>
      </w:r>
      <w:proofErr w:type="spellEnd"/>
      <w:r w:rsidRPr="006F07FC">
        <w:rPr>
          <w:lang w:val="uk-UA" w:eastAsia="de-DE"/>
        </w:rPr>
        <w:t xml:space="preserve"> кислота утворює комплексні сполуки з молекулами цукрів (наприклад, розчин </w:t>
      </w:r>
      <w:proofErr w:type="spellStart"/>
      <w:r w:rsidRPr="006F07FC">
        <w:rPr>
          <w:lang w:val="uk-UA" w:eastAsia="de-DE"/>
        </w:rPr>
        <w:t>левулози</w:t>
      </w:r>
      <w:proofErr w:type="spellEnd"/>
      <w:r w:rsidRPr="006F07FC">
        <w:rPr>
          <w:lang w:val="uk-UA" w:eastAsia="de-DE"/>
        </w:rPr>
        <w:t>).</w:t>
      </w:r>
      <w:r w:rsidR="00CE4654">
        <w:rPr>
          <w:lang w:val="uk-UA" w:eastAsia="de-DE"/>
        </w:rPr>
        <w:t xml:space="preserve"> </w:t>
      </w:r>
      <w:proofErr w:type="spellStart"/>
      <w:r w:rsidR="00191954" w:rsidRPr="006F07FC">
        <w:rPr>
          <w:lang w:val="uk-UA" w:eastAsia="de-DE"/>
        </w:rPr>
        <w:t>Тіоктон</w:t>
      </w:r>
      <w:proofErr w:type="spellEnd"/>
      <w:r w:rsidRPr="006F07FC">
        <w:rPr>
          <w:lang w:val="uk-UA" w:eastAsia="de-DE"/>
        </w:rPr>
        <w:t xml:space="preserve"> несумісний з розчином глюкози, розчином </w:t>
      </w:r>
      <w:proofErr w:type="spellStart"/>
      <w:r w:rsidRPr="006F07FC">
        <w:rPr>
          <w:lang w:val="uk-UA" w:eastAsia="de-DE"/>
        </w:rPr>
        <w:t>Рінгера</w:t>
      </w:r>
      <w:proofErr w:type="spellEnd"/>
      <w:r w:rsidRPr="006F07FC">
        <w:rPr>
          <w:lang w:val="uk-UA" w:eastAsia="de-DE"/>
        </w:rPr>
        <w:t xml:space="preserve">, а також з розчинами, про які відомо, що вони вступають </w:t>
      </w:r>
      <w:r w:rsidR="00CE4654">
        <w:rPr>
          <w:lang w:val="uk-UA" w:eastAsia="de-DE"/>
        </w:rPr>
        <w:t>у</w:t>
      </w:r>
      <w:r w:rsidRPr="006F07FC">
        <w:rPr>
          <w:lang w:val="uk-UA" w:eastAsia="de-DE"/>
        </w:rPr>
        <w:t xml:space="preserve"> реакцію з групами SH або з </w:t>
      </w:r>
      <w:proofErr w:type="spellStart"/>
      <w:r w:rsidRPr="006F07FC">
        <w:rPr>
          <w:lang w:val="uk-UA" w:eastAsia="de-DE"/>
        </w:rPr>
        <w:t>дисульфідними</w:t>
      </w:r>
      <w:proofErr w:type="spellEnd"/>
      <w:r w:rsidRPr="006F07FC">
        <w:rPr>
          <w:lang w:val="uk-UA" w:eastAsia="de-DE"/>
        </w:rPr>
        <w:t xml:space="preserve"> зв’язками. </w:t>
      </w:r>
    </w:p>
    <w:p w14:paraId="32367312" w14:textId="77777777" w:rsidR="00983463" w:rsidRPr="006F07FC" w:rsidRDefault="00983463" w:rsidP="00983463">
      <w:pPr>
        <w:jc w:val="both"/>
        <w:rPr>
          <w:lang w:val="uk-UA" w:eastAsia="de-DE"/>
        </w:rPr>
      </w:pPr>
      <w:r w:rsidRPr="006F07FC">
        <w:rPr>
          <w:lang w:val="uk-UA" w:eastAsia="de-DE"/>
        </w:rPr>
        <w:t xml:space="preserve">У якості розчину-носія для </w:t>
      </w:r>
      <w:proofErr w:type="spellStart"/>
      <w:r w:rsidRPr="006F07FC">
        <w:rPr>
          <w:lang w:val="uk-UA" w:eastAsia="de-DE"/>
        </w:rPr>
        <w:t>інфузій</w:t>
      </w:r>
      <w:proofErr w:type="spellEnd"/>
      <w:r w:rsidRPr="006F07FC">
        <w:rPr>
          <w:lang w:val="uk-UA" w:eastAsia="de-DE"/>
        </w:rPr>
        <w:t xml:space="preserve"> </w:t>
      </w:r>
      <w:proofErr w:type="spellStart"/>
      <w:r w:rsidR="00191954" w:rsidRPr="006F07FC">
        <w:rPr>
          <w:lang w:val="uk-UA" w:eastAsia="de-DE"/>
        </w:rPr>
        <w:t>Тіоктону</w:t>
      </w:r>
      <w:proofErr w:type="spellEnd"/>
      <w:r w:rsidRPr="006F07FC">
        <w:rPr>
          <w:lang w:val="uk-UA" w:eastAsia="de-DE"/>
        </w:rPr>
        <w:t xml:space="preserve"> слід застосовувати тільки 0,9 % розчин натрію хлориду.</w:t>
      </w:r>
    </w:p>
    <w:p w14:paraId="6DE94BE2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A110ED8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6F07FC">
        <w:rPr>
          <w:b/>
          <w:bCs/>
          <w:lang w:val="uk-UA"/>
        </w:rPr>
        <w:t>Упаковка.</w:t>
      </w:r>
    </w:p>
    <w:p w14:paraId="6B73441D" w14:textId="77777777" w:rsidR="000B5BE9" w:rsidRPr="006F07FC" w:rsidRDefault="000B5BE9" w:rsidP="000B5BE9">
      <w:pPr>
        <w:rPr>
          <w:lang w:val="uk-UA"/>
        </w:rPr>
      </w:pPr>
      <w:r w:rsidRPr="006F07FC">
        <w:rPr>
          <w:lang w:val="uk-UA"/>
        </w:rPr>
        <w:t xml:space="preserve">По 24 мл у флаконі, по 5 флаконів </w:t>
      </w:r>
      <w:r w:rsidR="00CE4654">
        <w:rPr>
          <w:lang w:val="uk-UA"/>
        </w:rPr>
        <w:t>у</w:t>
      </w:r>
      <w:r w:rsidRPr="006F07FC">
        <w:rPr>
          <w:lang w:val="uk-UA"/>
        </w:rPr>
        <w:t xml:space="preserve"> картонній пачці.</w:t>
      </w:r>
    </w:p>
    <w:p w14:paraId="40090FF6" w14:textId="77777777" w:rsidR="00D21FE4" w:rsidRPr="006F07FC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36B61AEC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6F07FC">
        <w:rPr>
          <w:b/>
          <w:bCs/>
          <w:lang w:val="uk-UA"/>
        </w:rPr>
        <w:t>Категорія відпуску.</w:t>
      </w:r>
    </w:p>
    <w:p w14:paraId="03339F50" w14:textId="77777777" w:rsidR="00D21FE4" w:rsidRPr="006F07FC" w:rsidRDefault="00191954" w:rsidP="00D21FE4">
      <w:pPr>
        <w:pStyle w:val="a3"/>
        <w:spacing w:before="0" w:beforeAutospacing="0" w:after="0" w:afterAutospacing="0"/>
        <w:jc w:val="both"/>
        <w:rPr>
          <w:spacing w:val="-2"/>
          <w:lang w:val="uk-UA" w:eastAsia="uk-UA"/>
        </w:rPr>
      </w:pPr>
      <w:r w:rsidRPr="006F07FC">
        <w:rPr>
          <w:spacing w:val="-2"/>
          <w:lang w:val="uk-UA" w:eastAsia="uk-UA"/>
        </w:rPr>
        <w:t>За рецептом.</w:t>
      </w:r>
    </w:p>
    <w:p w14:paraId="6E736FCA" w14:textId="77777777" w:rsidR="00191954" w:rsidRPr="006F07FC" w:rsidRDefault="0019195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D948D46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6F07FC">
        <w:rPr>
          <w:b/>
          <w:bCs/>
          <w:lang w:val="uk-UA"/>
        </w:rPr>
        <w:t>Виробник.</w:t>
      </w:r>
    </w:p>
    <w:p w14:paraId="26FC8EC6" w14:textId="77777777" w:rsidR="00D21FE4" w:rsidRPr="006F07FC" w:rsidRDefault="00B01361" w:rsidP="00B01361">
      <w:pPr>
        <w:rPr>
          <w:lang w:val="uk-UA"/>
        </w:rPr>
      </w:pPr>
      <w:r w:rsidRPr="006F07FC">
        <w:rPr>
          <w:lang w:val="uk-UA"/>
        </w:rPr>
        <w:t xml:space="preserve">К.Т. </w:t>
      </w:r>
      <w:proofErr w:type="spellStart"/>
      <w:r w:rsidRPr="006F07FC">
        <w:rPr>
          <w:lang w:val="uk-UA"/>
        </w:rPr>
        <w:t>Ромфарм</w:t>
      </w:r>
      <w:proofErr w:type="spellEnd"/>
      <w:r w:rsidRPr="006F07FC">
        <w:rPr>
          <w:lang w:val="uk-UA"/>
        </w:rPr>
        <w:t xml:space="preserve"> </w:t>
      </w:r>
      <w:proofErr w:type="spellStart"/>
      <w:r w:rsidRPr="006F07FC">
        <w:rPr>
          <w:lang w:val="uk-UA"/>
        </w:rPr>
        <w:t>Компані</w:t>
      </w:r>
      <w:proofErr w:type="spellEnd"/>
      <w:r w:rsidRPr="006F07FC">
        <w:rPr>
          <w:lang w:val="uk-UA"/>
        </w:rPr>
        <w:t xml:space="preserve"> С.Р.Л.</w:t>
      </w:r>
      <w:r w:rsidR="00C3599A">
        <w:rPr>
          <w:lang w:val="uk-UA"/>
        </w:rPr>
        <w:t>/</w:t>
      </w:r>
      <w:r w:rsidRPr="006F07FC">
        <w:rPr>
          <w:lang w:val="uk-UA"/>
        </w:rPr>
        <w:t xml:space="preserve">S.C. </w:t>
      </w:r>
      <w:proofErr w:type="spellStart"/>
      <w:r w:rsidRPr="006F07FC">
        <w:rPr>
          <w:lang w:val="uk-UA"/>
        </w:rPr>
        <w:t>Rompharm</w:t>
      </w:r>
      <w:proofErr w:type="spellEnd"/>
      <w:r w:rsidRPr="006F07FC">
        <w:rPr>
          <w:lang w:val="uk-UA"/>
        </w:rPr>
        <w:t xml:space="preserve"> </w:t>
      </w:r>
      <w:proofErr w:type="spellStart"/>
      <w:r w:rsidRPr="006F07FC">
        <w:rPr>
          <w:lang w:val="uk-UA"/>
        </w:rPr>
        <w:t>Company</w:t>
      </w:r>
      <w:proofErr w:type="spellEnd"/>
      <w:r w:rsidRPr="006F07FC">
        <w:rPr>
          <w:lang w:val="uk-UA"/>
        </w:rPr>
        <w:t xml:space="preserve"> S.R.L.</w:t>
      </w:r>
    </w:p>
    <w:p w14:paraId="41FDFB53" w14:textId="77777777" w:rsidR="00B01361" w:rsidRPr="006F07FC" w:rsidRDefault="00B01361" w:rsidP="00B01361">
      <w:pPr>
        <w:rPr>
          <w:lang w:val="uk-UA"/>
        </w:rPr>
      </w:pPr>
    </w:p>
    <w:p w14:paraId="479F7E3C" w14:textId="77777777" w:rsidR="002D25F0" w:rsidRPr="006F07FC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6F07FC">
        <w:rPr>
          <w:b/>
          <w:bCs/>
          <w:lang w:val="uk-UA"/>
        </w:rPr>
        <w:t xml:space="preserve">Місцезнаходження виробника та його адреса місця провадження </w:t>
      </w:r>
      <w:r w:rsidR="00C3599A">
        <w:rPr>
          <w:b/>
          <w:bCs/>
          <w:lang w:val="uk-UA"/>
        </w:rPr>
        <w:t xml:space="preserve">його </w:t>
      </w:r>
      <w:r w:rsidRPr="006F07FC">
        <w:rPr>
          <w:b/>
          <w:bCs/>
          <w:lang w:val="uk-UA"/>
        </w:rPr>
        <w:t>діяльності.</w:t>
      </w:r>
    </w:p>
    <w:p w14:paraId="4CBAB0E4" w14:textId="77777777" w:rsidR="00D21FE4" w:rsidRPr="006F07FC" w:rsidRDefault="00B01361" w:rsidP="00B01361">
      <w:pPr>
        <w:rPr>
          <w:lang w:val="uk-UA"/>
        </w:rPr>
      </w:pPr>
      <w:r w:rsidRPr="006F07FC">
        <w:rPr>
          <w:lang w:val="uk-UA"/>
        </w:rPr>
        <w:t xml:space="preserve">Вул. </w:t>
      </w:r>
      <w:proofErr w:type="spellStart"/>
      <w:r w:rsidRPr="006F07FC">
        <w:rPr>
          <w:lang w:val="uk-UA"/>
        </w:rPr>
        <w:t>Ероілор</w:t>
      </w:r>
      <w:proofErr w:type="spellEnd"/>
      <w:r w:rsidRPr="006F07FC">
        <w:rPr>
          <w:lang w:val="uk-UA"/>
        </w:rPr>
        <w:t xml:space="preserve"> № 1А, м. </w:t>
      </w:r>
      <w:proofErr w:type="spellStart"/>
      <w:r w:rsidRPr="006F07FC">
        <w:rPr>
          <w:lang w:val="uk-UA"/>
        </w:rPr>
        <w:t>Отопень</w:t>
      </w:r>
      <w:proofErr w:type="spellEnd"/>
      <w:r w:rsidR="00C3599A">
        <w:rPr>
          <w:lang w:val="uk-UA"/>
        </w:rPr>
        <w:t xml:space="preserve">, 075100, округ </w:t>
      </w:r>
      <w:proofErr w:type="spellStart"/>
      <w:r w:rsidR="00C3599A">
        <w:rPr>
          <w:lang w:val="uk-UA"/>
        </w:rPr>
        <w:t>Ілфов</w:t>
      </w:r>
      <w:proofErr w:type="spellEnd"/>
      <w:r w:rsidR="00C3599A">
        <w:rPr>
          <w:lang w:val="uk-UA"/>
        </w:rPr>
        <w:t>, Румунія/</w:t>
      </w:r>
      <w:proofErr w:type="spellStart"/>
      <w:r w:rsidRPr="006F07FC">
        <w:rPr>
          <w:lang w:val="uk-UA"/>
        </w:rPr>
        <w:t>Eroilor</w:t>
      </w:r>
      <w:proofErr w:type="spellEnd"/>
      <w:r w:rsidRPr="006F07FC">
        <w:rPr>
          <w:lang w:val="uk-UA"/>
        </w:rPr>
        <w:t xml:space="preserve"> </w:t>
      </w:r>
      <w:proofErr w:type="spellStart"/>
      <w:r w:rsidRPr="006F07FC">
        <w:rPr>
          <w:lang w:val="uk-UA"/>
        </w:rPr>
        <w:t>str</w:t>
      </w:r>
      <w:proofErr w:type="spellEnd"/>
      <w:r w:rsidRPr="006F07FC">
        <w:rPr>
          <w:lang w:val="uk-UA"/>
        </w:rPr>
        <w:t xml:space="preserve">. </w:t>
      </w:r>
      <w:proofErr w:type="spellStart"/>
      <w:r w:rsidRPr="006F07FC">
        <w:rPr>
          <w:lang w:val="uk-UA"/>
        </w:rPr>
        <w:t>No</w:t>
      </w:r>
      <w:proofErr w:type="spellEnd"/>
      <w:r w:rsidRPr="006F07FC">
        <w:rPr>
          <w:lang w:val="uk-UA"/>
        </w:rPr>
        <w:t xml:space="preserve"> 1 A, </w:t>
      </w:r>
      <w:proofErr w:type="spellStart"/>
      <w:r w:rsidRPr="006F07FC">
        <w:rPr>
          <w:lang w:val="uk-UA"/>
        </w:rPr>
        <w:t>Otopeni</w:t>
      </w:r>
      <w:proofErr w:type="spellEnd"/>
      <w:r w:rsidRPr="006F07FC">
        <w:rPr>
          <w:lang w:val="uk-UA"/>
        </w:rPr>
        <w:t xml:space="preserve"> </w:t>
      </w:r>
      <w:proofErr w:type="spellStart"/>
      <w:r w:rsidRPr="006F07FC">
        <w:rPr>
          <w:lang w:val="uk-UA"/>
        </w:rPr>
        <w:t>city</w:t>
      </w:r>
      <w:proofErr w:type="spellEnd"/>
      <w:r w:rsidRPr="006F07FC">
        <w:rPr>
          <w:lang w:val="uk-UA"/>
        </w:rPr>
        <w:t xml:space="preserve">, 075100, </w:t>
      </w:r>
      <w:proofErr w:type="spellStart"/>
      <w:r w:rsidRPr="006F07FC">
        <w:rPr>
          <w:lang w:val="uk-UA"/>
        </w:rPr>
        <w:t>county</w:t>
      </w:r>
      <w:proofErr w:type="spellEnd"/>
      <w:r w:rsidRPr="006F07FC">
        <w:rPr>
          <w:lang w:val="uk-UA"/>
        </w:rPr>
        <w:t xml:space="preserve"> </w:t>
      </w:r>
      <w:proofErr w:type="spellStart"/>
      <w:r w:rsidRPr="006F07FC">
        <w:rPr>
          <w:lang w:val="uk-UA"/>
        </w:rPr>
        <w:t>Ilfov</w:t>
      </w:r>
      <w:proofErr w:type="spellEnd"/>
      <w:r w:rsidRPr="006F07FC">
        <w:rPr>
          <w:lang w:val="uk-UA"/>
        </w:rPr>
        <w:t xml:space="preserve">, </w:t>
      </w:r>
      <w:proofErr w:type="spellStart"/>
      <w:r w:rsidRPr="006F07FC">
        <w:rPr>
          <w:lang w:val="uk-UA"/>
        </w:rPr>
        <w:t>Romania</w:t>
      </w:r>
      <w:proofErr w:type="spellEnd"/>
      <w:r w:rsidRPr="006F07FC">
        <w:rPr>
          <w:lang w:val="uk-UA"/>
        </w:rPr>
        <w:t>.</w:t>
      </w:r>
    </w:p>
    <w:p w14:paraId="312106A7" w14:textId="77777777" w:rsidR="00B01361" w:rsidRPr="006F07FC" w:rsidRDefault="00B01361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B08F6C1" w14:textId="77777777" w:rsidR="006356BE" w:rsidRPr="006F07FC" w:rsidRDefault="002D25F0" w:rsidP="00C3599A">
      <w:pPr>
        <w:pStyle w:val="a3"/>
        <w:spacing w:before="0" w:beforeAutospacing="0" w:after="0" w:afterAutospacing="0"/>
        <w:jc w:val="both"/>
        <w:rPr>
          <w:lang w:val="uk-UA"/>
        </w:rPr>
      </w:pPr>
      <w:r w:rsidRPr="006F07FC">
        <w:rPr>
          <w:b/>
          <w:bCs/>
          <w:lang w:val="uk-UA"/>
        </w:rPr>
        <w:t>Дата останнього перегляду.</w:t>
      </w:r>
    </w:p>
    <w:sectPr w:rsidR="006356BE" w:rsidRPr="006F07FC" w:rsidSect="006356B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71C48" w14:textId="77777777" w:rsidR="000C5186" w:rsidRDefault="000C5186" w:rsidP="008F00EA">
      <w:r>
        <w:separator/>
      </w:r>
    </w:p>
  </w:endnote>
  <w:endnote w:type="continuationSeparator" w:id="0">
    <w:p w14:paraId="3B0C8E14" w14:textId="77777777" w:rsidR="000C5186" w:rsidRDefault="000C5186" w:rsidP="008F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364435"/>
      <w:docPartObj>
        <w:docPartGallery w:val="Page Numbers (Bottom of Page)"/>
        <w:docPartUnique/>
      </w:docPartObj>
    </w:sdtPr>
    <w:sdtEndPr/>
    <w:sdtContent>
      <w:p w14:paraId="01163271" w14:textId="77777777" w:rsidR="008F00EA" w:rsidRDefault="008F00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248">
          <w:rPr>
            <w:noProof/>
          </w:rPr>
          <w:t>4</w:t>
        </w:r>
        <w:r>
          <w:fldChar w:fldCharType="end"/>
        </w:r>
      </w:p>
    </w:sdtContent>
  </w:sdt>
  <w:p w14:paraId="4B99C748" w14:textId="77777777" w:rsidR="008F00EA" w:rsidRDefault="008F00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0BDE" w14:textId="77777777" w:rsidR="000C5186" w:rsidRDefault="000C5186" w:rsidP="008F00EA">
      <w:r>
        <w:separator/>
      </w:r>
    </w:p>
  </w:footnote>
  <w:footnote w:type="continuationSeparator" w:id="0">
    <w:p w14:paraId="260EA728" w14:textId="77777777" w:rsidR="000C5186" w:rsidRDefault="000C5186" w:rsidP="008F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F0"/>
    <w:rsid w:val="00033C73"/>
    <w:rsid w:val="0009363C"/>
    <w:rsid w:val="00096910"/>
    <w:rsid w:val="000B5BE9"/>
    <w:rsid w:val="000C5186"/>
    <w:rsid w:val="000D336E"/>
    <w:rsid w:val="000F6391"/>
    <w:rsid w:val="001833B7"/>
    <w:rsid w:val="00191954"/>
    <w:rsid w:val="001944A6"/>
    <w:rsid w:val="001B7849"/>
    <w:rsid w:val="00210248"/>
    <w:rsid w:val="00220E35"/>
    <w:rsid w:val="0022328A"/>
    <w:rsid w:val="00242058"/>
    <w:rsid w:val="0024520C"/>
    <w:rsid w:val="002B34E1"/>
    <w:rsid w:val="002D25F0"/>
    <w:rsid w:val="002E2E5C"/>
    <w:rsid w:val="002F4531"/>
    <w:rsid w:val="003243E2"/>
    <w:rsid w:val="00341944"/>
    <w:rsid w:val="00376C7A"/>
    <w:rsid w:val="003946DE"/>
    <w:rsid w:val="003A0054"/>
    <w:rsid w:val="003A0911"/>
    <w:rsid w:val="003A3E04"/>
    <w:rsid w:val="003B0EDC"/>
    <w:rsid w:val="00401755"/>
    <w:rsid w:val="004366EC"/>
    <w:rsid w:val="00456005"/>
    <w:rsid w:val="0047133B"/>
    <w:rsid w:val="00481E2E"/>
    <w:rsid w:val="004B4805"/>
    <w:rsid w:val="004F172E"/>
    <w:rsid w:val="005549AF"/>
    <w:rsid w:val="005614A4"/>
    <w:rsid w:val="00565F7A"/>
    <w:rsid w:val="005828A2"/>
    <w:rsid w:val="0062684F"/>
    <w:rsid w:val="006356BE"/>
    <w:rsid w:val="006E750F"/>
    <w:rsid w:val="006F07FC"/>
    <w:rsid w:val="007004AB"/>
    <w:rsid w:val="00751BF2"/>
    <w:rsid w:val="00794E26"/>
    <w:rsid w:val="007E4343"/>
    <w:rsid w:val="008105B7"/>
    <w:rsid w:val="00827EC1"/>
    <w:rsid w:val="0084380A"/>
    <w:rsid w:val="00862E9F"/>
    <w:rsid w:val="00866BC5"/>
    <w:rsid w:val="00882502"/>
    <w:rsid w:val="008826A9"/>
    <w:rsid w:val="008A1FFE"/>
    <w:rsid w:val="008D68A4"/>
    <w:rsid w:val="008F00EA"/>
    <w:rsid w:val="008F6271"/>
    <w:rsid w:val="00955BB9"/>
    <w:rsid w:val="00982DC7"/>
    <w:rsid w:val="00983463"/>
    <w:rsid w:val="00987316"/>
    <w:rsid w:val="009C4DBC"/>
    <w:rsid w:val="009D6622"/>
    <w:rsid w:val="009F04C4"/>
    <w:rsid w:val="00A85FAC"/>
    <w:rsid w:val="00AA4A67"/>
    <w:rsid w:val="00AA6789"/>
    <w:rsid w:val="00AB2B9A"/>
    <w:rsid w:val="00B01361"/>
    <w:rsid w:val="00B07039"/>
    <w:rsid w:val="00B35F9A"/>
    <w:rsid w:val="00B36FE2"/>
    <w:rsid w:val="00B37907"/>
    <w:rsid w:val="00B556DA"/>
    <w:rsid w:val="00B65FDA"/>
    <w:rsid w:val="00B679CA"/>
    <w:rsid w:val="00B7144D"/>
    <w:rsid w:val="00B911D7"/>
    <w:rsid w:val="00BB5099"/>
    <w:rsid w:val="00BD745A"/>
    <w:rsid w:val="00C014A1"/>
    <w:rsid w:val="00C3599A"/>
    <w:rsid w:val="00C756D8"/>
    <w:rsid w:val="00C7708A"/>
    <w:rsid w:val="00CA406C"/>
    <w:rsid w:val="00CE4654"/>
    <w:rsid w:val="00CE59B6"/>
    <w:rsid w:val="00CF2ED1"/>
    <w:rsid w:val="00D05F88"/>
    <w:rsid w:val="00D21FE4"/>
    <w:rsid w:val="00D60E9E"/>
    <w:rsid w:val="00DA2512"/>
    <w:rsid w:val="00DA7BD2"/>
    <w:rsid w:val="00E02190"/>
    <w:rsid w:val="00E2518F"/>
    <w:rsid w:val="00E653C1"/>
    <w:rsid w:val="00E83508"/>
    <w:rsid w:val="00EC10D1"/>
    <w:rsid w:val="00EE2F3B"/>
    <w:rsid w:val="00F00D40"/>
    <w:rsid w:val="00F23073"/>
    <w:rsid w:val="00F3639B"/>
    <w:rsid w:val="00F7727B"/>
    <w:rsid w:val="00F85504"/>
    <w:rsid w:val="00FA5612"/>
    <w:rsid w:val="00FA722F"/>
    <w:rsid w:val="00FD5ED4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70F5"/>
  <w15:docId w15:val="{296515B0-A074-41F3-8249-27198F41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2D25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D25F0"/>
    <w:pPr>
      <w:spacing w:before="100" w:beforeAutospacing="1" w:after="100" w:afterAutospacing="1"/>
    </w:pPr>
  </w:style>
  <w:style w:type="paragraph" w:customStyle="1" w:styleId="knZulassung02">
    <w:name w:val="knZulassung02"/>
    <w:basedOn w:val="a"/>
    <w:rsid w:val="00955BB9"/>
    <w:pPr>
      <w:autoSpaceDE w:val="0"/>
      <w:autoSpaceDN w:val="0"/>
      <w:ind w:left="1843" w:right="284"/>
    </w:pPr>
    <w:rPr>
      <w:rFonts w:ascii="Courier" w:hAnsi="Courier" w:cs="Courier"/>
      <w:lang w:val="de-DE" w:eastAsia="de-DE"/>
    </w:rPr>
  </w:style>
  <w:style w:type="paragraph" w:styleId="a4">
    <w:name w:val="header"/>
    <w:basedOn w:val="a"/>
    <w:link w:val="a5"/>
    <w:uiPriority w:val="99"/>
    <w:unhideWhenUsed/>
    <w:rsid w:val="008F00E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0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F00E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0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3946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Andrii Hlubokyi</cp:lastModifiedBy>
  <cp:revision>4</cp:revision>
  <dcterms:created xsi:type="dcterms:W3CDTF">2019-09-12T13:23:00Z</dcterms:created>
  <dcterms:modified xsi:type="dcterms:W3CDTF">2020-07-07T08:50:00Z</dcterms:modified>
</cp:coreProperties>
</file>